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A6E76C" w14:textId="40DD548E" w:rsidR="0072169F" w:rsidRPr="00237017" w:rsidRDefault="002D0198" w:rsidP="0072169F">
      <w:pPr>
        <w:spacing w:after="0" w:line="240" w:lineRule="auto"/>
        <w:jc w:val="center"/>
        <w:rPr>
          <w:rFonts w:ascii="Arial" w:eastAsia="Calibri" w:hAnsi="Arial" w:cs="Arial"/>
          <w:b/>
          <w:bCs/>
          <w:sz w:val="26"/>
          <w:szCs w:val="26"/>
        </w:rPr>
      </w:pPr>
      <w:r w:rsidRPr="00237017">
        <w:rPr>
          <w:rFonts w:ascii="Arial" w:eastAsia="Calibri" w:hAnsi="Arial" w:cs="Arial"/>
          <w:b/>
          <w:bCs/>
          <w:sz w:val="26"/>
          <w:szCs w:val="26"/>
        </w:rPr>
        <w:t>JUSTIFICAÇÃO DA INEXIGIBILIDADE DE LICITAÇÃO E DO PREÇO</w:t>
      </w:r>
    </w:p>
    <w:p w14:paraId="6308D01B" w14:textId="77777777" w:rsidR="0072169F" w:rsidRPr="0072169F" w:rsidRDefault="0072169F" w:rsidP="0072169F">
      <w:pPr>
        <w:spacing w:after="0" w:line="240" w:lineRule="auto"/>
        <w:jc w:val="center"/>
        <w:rPr>
          <w:rFonts w:ascii="Arial" w:eastAsia="Calibri" w:hAnsi="Arial" w:cs="Arial"/>
          <w:b/>
          <w:bCs/>
          <w:sz w:val="24"/>
          <w:szCs w:val="24"/>
        </w:rPr>
      </w:pPr>
    </w:p>
    <w:p w14:paraId="355271C8" w14:textId="6D682FF2" w:rsidR="002D0198" w:rsidRDefault="002D0198" w:rsidP="002D0198">
      <w:pPr>
        <w:spacing w:after="0" w:line="360" w:lineRule="auto"/>
        <w:ind w:firstLine="1134"/>
        <w:jc w:val="both"/>
        <w:rPr>
          <w:rFonts w:ascii="Arial" w:hAnsi="Arial" w:cs="Arial"/>
          <w:sz w:val="24"/>
          <w:szCs w:val="24"/>
        </w:rPr>
      </w:pPr>
      <w:r>
        <w:rPr>
          <w:rFonts w:ascii="Arial" w:hAnsi="Arial" w:cs="Arial"/>
          <w:sz w:val="24"/>
          <w:szCs w:val="24"/>
        </w:rPr>
        <w:t xml:space="preserve">Conforme consta nas informações fornecidas pela empresa organizadora do evento, </w:t>
      </w:r>
      <w:r w:rsidR="006949E3">
        <w:rPr>
          <w:rFonts w:ascii="Arial" w:hAnsi="Arial" w:cs="Arial"/>
          <w:sz w:val="24"/>
          <w:szCs w:val="24"/>
        </w:rPr>
        <w:t>o curso será ministrado pelo</w:t>
      </w:r>
      <w:r>
        <w:rPr>
          <w:rFonts w:ascii="Arial" w:hAnsi="Arial" w:cs="Arial"/>
          <w:sz w:val="24"/>
          <w:szCs w:val="24"/>
        </w:rPr>
        <w:t xml:space="preserve"> Professor Marcos Roberto, especialista em gestão pública municipal</w:t>
      </w:r>
      <w:r w:rsidR="007D7352">
        <w:rPr>
          <w:rFonts w:ascii="Arial" w:hAnsi="Arial" w:cs="Arial"/>
          <w:sz w:val="24"/>
          <w:szCs w:val="24"/>
        </w:rPr>
        <w:t xml:space="preserve"> e pelo Professor Vinícius Lima, mestre em Gestão e Estratégia</w:t>
      </w:r>
      <w:r>
        <w:rPr>
          <w:rFonts w:ascii="Arial" w:hAnsi="Arial" w:cs="Arial"/>
          <w:sz w:val="24"/>
          <w:szCs w:val="24"/>
        </w:rPr>
        <w:t xml:space="preserve">. </w:t>
      </w:r>
    </w:p>
    <w:p w14:paraId="36E3E32B" w14:textId="63C6086B" w:rsidR="002D0198" w:rsidRDefault="002D0198" w:rsidP="002D0198">
      <w:pPr>
        <w:spacing w:after="0" w:line="360" w:lineRule="auto"/>
        <w:ind w:firstLine="1134"/>
        <w:jc w:val="both"/>
        <w:rPr>
          <w:rFonts w:ascii="Arial" w:hAnsi="Arial" w:cs="Arial"/>
          <w:sz w:val="24"/>
          <w:szCs w:val="24"/>
        </w:rPr>
      </w:pPr>
      <w:r>
        <w:rPr>
          <w:rFonts w:ascii="Arial" w:hAnsi="Arial" w:cs="Arial"/>
          <w:sz w:val="24"/>
          <w:szCs w:val="24"/>
        </w:rPr>
        <w:t>A contratação por inexigibilidade é cabível, pois se trata de professor</w:t>
      </w:r>
      <w:r w:rsidR="007D7352">
        <w:rPr>
          <w:rFonts w:ascii="Arial" w:hAnsi="Arial" w:cs="Arial"/>
          <w:sz w:val="24"/>
          <w:szCs w:val="24"/>
        </w:rPr>
        <w:t>es</w:t>
      </w:r>
      <w:r>
        <w:rPr>
          <w:rFonts w:ascii="Arial" w:hAnsi="Arial" w:cs="Arial"/>
          <w:sz w:val="24"/>
          <w:szCs w:val="24"/>
        </w:rPr>
        <w:t xml:space="preserve"> especialista</w:t>
      </w:r>
      <w:r w:rsidR="007D7352">
        <w:rPr>
          <w:rFonts w:ascii="Arial" w:hAnsi="Arial" w:cs="Arial"/>
          <w:sz w:val="24"/>
          <w:szCs w:val="24"/>
        </w:rPr>
        <w:t>s</w:t>
      </w:r>
      <w:r>
        <w:rPr>
          <w:rFonts w:ascii="Arial" w:hAnsi="Arial" w:cs="Arial"/>
          <w:sz w:val="24"/>
          <w:szCs w:val="24"/>
        </w:rPr>
        <w:t xml:space="preserve"> e empresa possuidora de </w:t>
      </w:r>
      <w:r w:rsidRPr="00F07EDC">
        <w:rPr>
          <w:rFonts w:ascii="Arial" w:hAnsi="Arial" w:cs="Arial"/>
          <w:b/>
          <w:sz w:val="24"/>
          <w:szCs w:val="24"/>
        </w:rPr>
        <w:t>notória especialização</w:t>
      </w:r>
      <w:r>
        <w:rPr>
          <w:rFonts w:ascii="Arial" w:hAnsi="Arial" w:cs="Arial"/>
          <w:sz w:val="24"/>
          <w:szCs w:val="24"/>
        </w:rPr>
        <w:t>, conforme vasta documentação anexada aos autos que lhe confere tais atributos, inclusive atestados emitidos pelo próprio Tribunal de Contas dos Municípios do Estado de Goiás – TCM/GO. O</w:t>
      </w:r>
      <w:r w:rsidR="007D7352">
        <w:rPr>
          <w:rFonts w:ascii="Arial" w:hAnsi="Arial" w:cs="Arial"/>
          <w:sz w:val="24"/>
          <w:szCs w:val="24"/>
        </w:rPr>
        <w:t>s</w:t>
      </w:r>
      <w:r>
        <w:rPr>
          <w:rFonts w:ascii="Arial" w:hAnsi="Arial" w:cs="Arial"/>
          <w:sz w:val="24"/>
          <w:szCs w:val="24"/>
        </w:rPr>
        <w:t xml:space="preserve"> professor</w:t>
      </w:r>
      <w:r w:rsidR="007D7352">
        <w:rPr>
          <w:rFonts w:ascii="Arial" w:hAnsi="Arial" w:cs="Arial"/>
          <w:sz w:val="24"/>
          <w:szCs w:val="24"/>
        </w:rPr>
        <w:t>es</w:t>
      </w:r>
      <w:r>
        <w:rPr>
          <w:rFonts w:ascii="Arial" w:hAnsi="Arial" w:cs="Arial"/>
          <w:sz w:val="24"/>
          <w:szCs w:val="24"/>
        </w:rPr>
        <w:t xml:space="preserve"> t</w:t>
      </w:r>
      <w:r w:rsidR="007D7352">
        <w:rPr>
          <w:rFonts w:ascii="Arial" w:hAnsi="Arial" w:cs="Arial"/>
          <w:sz w:val="24"/>
          <w:szCs w:val="24"/>
        </w:rPr>
        <w:t>ê</w:t>
      </w:r>
      <w:r>
        <w:rPr>
          <w:rFonts w:ascii="Arial" w:hAnsi="Arial" w:cs="Arial"/>
          <w:sz w:val="24"/>
          <w:szCs w:val="24"/>
        </w:rPr>
        <w:t xml:space="preserve">m </w:t>
      </w:r>
      <w:r w:rsidR="007D7352">
        <w:rPr>
          <w:rFonts w:ascii="Arial" w:hAnsi="Arial" w:cs="Arial"/>
          <w:sz w:val="24"/>
          <w:szCs w:val="24"/>
        </w:rPr>
        <w:t xml:space="preserve">experiências em ministrar cursos sobre pregão eletrônico, </w:t>
      </w:r>
      <w:r>
        <w:rPr>
          <w:rFonts w:ascii="Arial" w:hAnsi="Arial" w:cs="Arial"/>
          <w:sz w:val="24"/>
          <w:szCs w:val="24"/>
        </w:rPr>
        <w:t>participação em seminários como palestrante, autor de obras literárias e, ainda, ocupante de cargo de Perito Contador da Polícia Federal</w:t>
      </w:r>
      <w:r w:rsidR="002A3805">
        <w:rPr>
          <w:rFonts w:ascii="Arial" w:hAnsi="Arial" w:cs="Arial"/>
          <w:sz w:val="24"/>
          <w:szCs w:val="24"/>
        </w:rPr>
        <w:t xml:space="preserve"> e mestre</w:t>
      </w:r>
      <w:r>
        <w:rPr>
          <w:rFonts w:ascii="Arial" w:hAnsi="Arial" w:cs="Arial"/>
          <w:sz w:val="24"/>
          <w:szCs w:val="24"/>
        </w:rPr>
        <w:t>. É verdade que tanto a empresa MR Treinamentos Ltda como o</w:t>
      </w:r>
      <w:r w:rsidR="007D7352">
        <w:rPr>
          <w:rFonts w:ascii="Arial" w:hAnsi="Arial" w:cs="Arial"/>
          <w:sz w:val="24"/>
          <w:szCs w:val="24"/>
        </w:rPr>
        <w:t>s</w:t>
      </w:r>
      <w:r>
        <w:rPr>
          <w:rFonts w:ascii="Arial" w:hAnsi="Arial" w:cs="Arial"/>
          <w:sz w:val="24"/>
          <w:szCs w:val="24"/>
        </w:rPr>
        <w:t xml:space="preserve"> </w:t>
      </w:r>
      <w:r w:rsidR="007D7352">
        <w:rPr>
          <w:rFonts w:ascii="Arial" w:hAnsi="Arial" w:cs="Arial"/>
          <w:sz w:val="24"/>
          <w:szCs w:val="24"/>
        </w:rPr>
        <w:t>professores</w:t>
      </w:r>
      <w:r>
        <w:rPr>
          <w:rFonts w:ascii="Arial" w:hAnsi="Arial" w:cs="Arial"/>
          <w:sz w:val="24"/>
          <w:szCs w:val="24"/>
        </w:rPr>
        <w:t xml:space="preserve"> possuem tais adjetivos, haja vista que </w:t>
      </w:r>
      <w:r w:rsidR="00C80E80">
        <w:rPr>
          <w:rFonts w:ascii="Arial" w:hAnsi="Arial" w:cs="Arial"/>
          <w:sz w:val="24"/>
          <w:szCs w:val="24"/>
        </w:rPr>
        <w:t>o professor Marcos Roberto</w:t>
      </w:r>
      <w:r>
        <w:rPr>
          <w:rFonts w:ascii="Arial" w:hAnsi="Arial" w:cs="Arial"/>
          <w:sz w:val="24"/>
          <w:szCs w:val="24"/>
        </w:rPr>
        <w:t xml:space="preserve"> faz parte do corpo societário da primeira e, ainda, </w:t>
      </w:r>
      <w:r w:rsidR="00C80E80">
        <w:rPr>
          <w:rFonts w:ascii="Arial" w:hAnsi="Arial" w:cs="Arial"/>
          <w:sz w:val="24"/>
          <w:szCs w:val="24"/>
        </w:rPr>
        <w:t>a capacitação/treinamento</w:t>
      </w:r>
      <w:r>
        <w:rPr>
          <w:rFonts w:ascii="Arial" w:hAnsi="Arial" w:cs="Arial"/>
          <w:sz w:val="24"/>
          <w:szCs w:val="24"/>
        </w:rPr>
        <w:t xml:space="preserve"> pretendid</w:t>
      </w:r>
      <w:r w:rsidR="00C80E80">
        <w:rPr>
          <w:rFonts w:ascii="Arial" w:hAnsi="Arial" w:cs="Arial"/>
          <w:sz w:val="24"/>
          <w:szCs w:val="24"/>
        </w:rPr>
        <w:t>o</w:t>
      </w:r>
      <w:r>
        <w:rPr>
          <w:rFonts w:ascii="Arial" w:hAnsi="Arial" w:cs="Arial"/>
          <w:sz w:val="24"/>
          <w:szCs w:val="24"/>
        </w:rPr>
        <w:t xml:space="preserve"> será ministrad</w:t>
      </w:r>
      <w:r w:rsidR="00C80E80">
        <w:rPr>
          <w:rFonts w:ascii="Arial" w:hAnsi="Arial" w:cs="Arial"/>
          <w:sz w:val="24"/>
          <w:szCs w:val="24"/>
        </w:rPr>
        <w:t>a</w:t>
      </w:r>
      <w:r>
        <w:rPr>
          <w:rFonts w:ascii="Arial" w:hAnsi="Arial" w:cs="Arial"/>
          <w:sz w:val="24"/>
          <w:szCs w:val="24"/>
        </w:rPr>
        <w:t xml:space="preserve"> </w:t>
      </w:r>
      <w:r w:rsidRPr="00D13BD2">
        <w:rPr>
          <w:rFonts w:ascii="Arial" w:hAnsi="Arial" w:cs="Arial"/>
          <w:b/>
          <w:sz w:val="24"/>
          <w:szCs w:val="24"/>
        </w:rPr>
        <w:t>exclusivamente</w:t>
      </w:r>
      <w:r>
        <w:rPr>
          <w:rFonts w:ascii="Arial" w:hAnsi="Arial" w:cs="Arial"/>
          <w:sz w:val="24"/>
          <w:szCs w:val="24"/>
        </w:rPr>
        <w:t xml:space="preserve"> por este</w:t>
      </w:r>
      <w:r w:rsidR="00C80E80">
        <w:rPr>
          <w:rFonts w:ascii="Arial" w:hAnsi="Arial" w:cs="Arial"/>
          <w:sz w:val="24"/>
          <w:szCs w:val="24"/>
        </w:rPr>
        <w:t>s</w:t>
      </w:r>
      <w:r>
        <w:rPr>
          <w:rFonts w:ascii="Arial" w:hAnsi="Arial" w:cs="Arial"/>
          <w:sz w:val="24"/>
          <w:szCs w:val="24"/>
        </w:rPr>
        <w:t xml:space="preserve"> profissiona</w:t>
      </w:r>
      <w:r w:rsidR="00C80E80">
        <w:rPr>
          <w:rFonts w:ascii="Arial" w:hAnsi="Arial" w:cs="Arial"/>
          <w:sz w:val="24"/>
          <w:szCs w:val="24"/>
        </w:rPr>
        <w:t>is</w:t>
      </w:r>
      <w:r>
        <w:rPr>
          <w:rFonts w:ascii="Arial" w:hAnsi="Arial" w:cs="Arial"/>
          <w:sz w:val="24"/>
          <w:szCs w:val="24"/>
        </w:rPr>
        <w:t xml:space="preserve">. Ainda, o objeto da despesa trata-se de </w:t>
      </w:r>
      <w:r w:rsidRPr="00A14B54">
        <w:rPr>
          <w:rFonts w:ascii="Arial" w:hAnsi="Arial" w:cs="Arial"/>
          <w:b/>
          <w:sz w:val="24"/>
          <w:szCs w:val="24"/>
        </w:rPr>
        <w:t>serviço técnico especializado</w:t>
      </w:r>
      <w:r>
        <w:rPr>
          <w:rFonts w:ascii="Arial" w:hAnsi="Arial" w:cs="Arial"/>
          <w:sz w:val="24"/>
          <w:szCs w:val="24"/>
        </w:rPr>
        <w:t xml:space="preserve">, mencionado no art. 13, VI, da Lei 8666/93 e de </w:t>
      </w:r>
      <w:r w:rsidRPr="00A14B54">
        <w:rPr>
          <w:rFonts w:ascii="Arial" w:hAnsi="Arial" w:cs="Arial"/>
          <w:b/>
          <w:sz w:val="24"/>
          <w:szCs w:val="24"/>
        </w:rPr>
        <w:t>natureza singular</w:t>
      </w:r>
      <w:r>
        <w:rPr>
          <w:rFonts w:ascii="Arial" w:hAnsi="Arial" w:cs="Arial"/>
          <w:sz w:val="24"/>
          <w:szCs w:val="24"/>
        </w:rPr>
        <w:t>.</w:t>
      </w:r>
    </w:p>
    <w:p w14:paraId="5F8EB678" w14:textId="77777777" w:rsidR="002D0198" w:rsidRPr="00CB4D9E" w:rsidRDefault="002D0198" w:rsidP="002D0198">
      <w:pPr>
        <w:pStyle w:val="western"/>
        <w:spacing w:before="0" w:beforeAutospacing="0" w:after="0" w:afterAutospacing="0" w:line="360" w:lineRule="auto"/>
        <w:ind w:left="1979" w:firstLine="6"/>
        <w:jc w:val="both"/>
        <w:rPr>
          <w:rFonts w:ascii="Arial" w:hAnsi="Arial" w:cs="Arial"/>
          <w:i/>
          <w:sz w:val="22"/>
          <w:szCs w:val="22"/>
        </w:rPr>
      </w:pPr>
      <w:r w:rsidRPr="00CB4D9E">
        <w:rPr>
          <w:rFonts w:ascii="Arial" w:hAnsi="Arial" w:cs="Arial"/>
          <w:i/>
          <w:sz w:val="22"/>
          <w:szCs w:val="22"/>
        </w:rPr>
        <w:t xml:space="preserve">“Art.13. Para os fins desta Lei, </w:t>
      </w:r>
      <w:r w:rsidRPr="00CB4D9E">
        <w:rPr>
          <w:rStyle w:val="Forte"/>
          <w:rFonts w:ascii="Arial" w:hAnsi="Arial" w:cs="Arial"/>
          <w:i/>
          <w:sz w:val="22"/>
          <w:szCs w:val="22"/>
          <w:u w:val="single"/>
        </w:rPr>
        <w:t>consideram-se serviços técnicos profissionais especializados os trabalhos relativos a</w:t>
      </w:r>
      <w:r w:rsidRPr="00CB4D9E">
        <w:rPr>
          <w:rStyle w:val="Forte"/>
          <w:rFonts w:ascii="Arial" w:hAnsi="Arial" w:cs="Arial"/>
          <w:i/>
          <w:sz w:val="22"/>
          <w:szCs w:val="22"/>
        </w:rPr>
        <w:t>:</w:t>
      </w:r>
    </w:p>
    <w:p w14:paraId="00FB0F3C" w14:textId="77777777" w:rsidR="002D0198" w:rsidRPr="00CB4D9E" w:rsidRDefault="002D0198" w:rsidP="002D0198">
      <w:pPr>
        <w:pStyle w:val="western"/>
        <w:spacing w:before="0" w:beforeAutospacing="0" w:after="0" w:afterAutospacing="0" w:line="360" w:lineRule="auto"/>
        <w:ind w:left="1979" w:firstLine="6"/>
        <w:jc w:val="both"/>
        <w:rPr>
          <w:rFonts w:ascii="Arial" w:hAnsi="Arial" w:cs="Arial"/>
          <w:i/>
          <w:sz w:val="22"/>
          <w:szCs w:val="22"/>
        </w:rPr>
      </w:pPr>
      <w:r w:rsidRPr="00CB4D9E">
        <w:rPr>
          <w:rFonts w:ascii="Arial" w:hAnsi="Arial" w:cs="Arial"/>
          <w:i/>
          <w:sz w:val="22"/>
          <w:szCs w:val="22"/>
        </w:rPr>
        <w:t>(...)</w:t>
      </w:r>
    </w:p>
    <w:p w14:paraId="3A842B04" w14:textId="77777777" w:rsidR="002D0198" w:rsidRPr="00CB4D9E" w:rsidRDefault="002D0198" w:rsidP="002D0198">
      <w:pPr>
        <w:pStyle w:val="western"/>
        <w:spacing w:before="0" w:beforeAutospacing="0" w:after="0" w:afterAutospacing="0" w:line="360" w:lineRule="auto"/>
        <w:ind w:left="1979" w:firstLine="6"/>
        <w:jc w:val="both"/>
        <w:rPr>
          <w:rFonts w:ascii="Arial" w:hAnsi="Arial" w:cs="Arial"/>
          <w:i/>
          <w:sz w:val="22"/>
          <w:szCs w:val="22"/>
        </w:rPr>
      </w:pPr>
      <w:r w:rsidRPr="00CB4D9E">
        <w:rPr>
          <w:rStyle w:val="Forte"/>
          <w:rFonts w:ascii="Arial" w:hAnsi="Arial" w:cs="Arial"/>
          <w:i/>
          <w:sz w:val="22"/>
          <w:szCs w:val="22"/>
        </w:rPr>
        <w:t>VI - </w:t>
      </w:r>
      <w:r w:rsidRPr="00CB4D9E">
        <w:rPr>
          <w:rStyle w:val="Forte"/>
          <w:rFonts w:ascii="Arial" w:hAnsi="Arial" w:cs="Arial"/>
          <w:i/>
          <w:sz w:val="22"/>
          <w:szCs w:val="22"/>
          <w:u w:val="single"/>
        </w:rPr>
        <w:t>treinamento e aperfeiçoamento de pessoal;</w:t>
      </w:r>
    </w:p>
    <w:p w14:paraId="7B731776" w14:textId="77777777" w:rsidR="002D0198" w:rsidRPr="00A14B54" w:rsidRDefault="002D0198" w:rsidP="002D0198">
      <w:pPr>
        <w:spacing w:before="100" w:beforeAutospacing="1" w:after="120" w:line="360" w:lineRule="auto"/>
        <w:ind w:firstLine="1134"/>
        <w:jc w:val="both"/>
        <w:rPr>
          <w:rFonts w:ascii="Arial" w:eastAsia="Times New Roman" w:hAnsi="Arial" w:cs="Arial"/>
          <w:sz w:val="24"/>
          <w:szCs w:val="24"/>
          <w:lang w:eastAsia="pt-BR"/>
        </w:rPr>
      </w:pPr>
      <w:r w:rsidRPr="00A14B54">
        <w:rPr>
          <w:rFonts w:ascii="Arial" w:eastAsia="Times New Roman" w:hAnsi="Arial" w:cs="Arial"/>
          <w:sz w:val="24"/>
          <w:szCs w:val="24"/>
          <w:lang w:eastAsia="pt-BR"/>
        </w:rPr>
        <w:t xml:space="preserve">Em relação ao requisito subjetivo, qual seja, </w:t>
      </w:r>
      <w:r w:rsidRPr="000C772A">
        <w:rPr>
          <w:rFonts w:ascii="Arial" w:eastAsia="Times New Roman" w:hAnsi="Arial" w:cs="Arial"/>
          <w:b/>
          <w:sz w:val="24"/>
          <w:szCs w:val="24"/>
          <w:lang w:eastAsia="pt-BR"/>
        </w:rPr>
        <w:t>a notória especialização</w:t>
      </w:r>
      <w:r w:rsidRPr="00A14B54">
        <w:rPr>
          <w:rFonts w:ascii="Arial" w:eastAsia="Times New Roman" w:hAnsi="Arial" w:cs="Arial"/>
          <w:sz w:val="24"/>
          <w:szCs w:val="24"/>
          <w:lang w:eastAsia="pt-BR"/>
        </w:rPr>
        <w:t xml:space="preserve"> temos que </w:t>
      </w:r>
      <w:r w:rsidRPr="000C772A">
        <w:rPr>
          <w:rFonts w:ascii="Arial" w:eastAsia="Times New Roman" w:hAnsi="Arial" w:cs="Arial"/>
          <w:b/>
          <w:sz w:val="24"/>
          <w:szCs w:val="24"/>
          <w:lang w:eastAsia="pt-BR"/>
        </w:rPr>
        <w:t>não se trata de característica exclusiva da empresa</w:t>
      </w:r>
      <w:r w:rsidRPr="00A14B54">
        <w:rPr>
          <w:rFonts w:ascii="Arial" w:eastAsia="Times New Roman" w:hAnsi="Arial" w:cs="Arial"/>
          <w:sz w:val="24"/>
          <w:szCs w:val="24"/>
          <w:lang w:eastAsia="pt-BR"/>
        </w:rPr>
        <w:t xml:space="preserve">, nem tampouco há necessidade de exposição pública da entidade prestadora do serviço. </w:t>
      </w:r>
      <w:r w:rsidRPr="000C772A">
        <w:rPr>
          <w:rFonts w:ascii="Arial" w:eastAsia="Times New Roman" w:hAnsi="Arial" w:cs="Arial"/>
          <w:b/>
          <w:sz w:val="24"/>
          <w:szCs w:val="24"/>
          <w:lang w:eastAsia="pt-BR"/>
        </w:rPr>
        <w:t>Tal característica é principalmente do corpo técnico</w:t>
      </w:r>
      <w:r w:rsidRPr="00A14B54">
        <w:rPr>
          <w:rFonts w:ascii="Arial" w:eastAsia="Times New Roman" w:hAnsi="Arial" w:cs="Arial"/>
          <w:sz w:val="24"/>
          <w:szCs w:val="24"/>
          <w:lang w:eastAsia="pt-BR"/>
        </w:rPr>
        <w:t>, não devendo se confundir fama com notória especialização.</w:t>
      </w:r>
    </w:p>
    <w:p w14:paraId="0957FB76" w14:textId="77777777" w:rsidR="002D0198" w:rsidRPr="00A14B54" w:rsidRDefault="002D0198" w:rsidP="002D0198">
      <w:pPr>
        <w:spacing w:before="100" w:beforeAutospacing="1" w:after="120" w:line="360" w:lineRule="auto"/>
        <w:ind w:firstLine="1134"/>
        <w:jc w:val="both"/>
        <w:rPr>
          <w:rFonts w:ascii="Arial" w:eastAsia="Times New Roman" w:hAnsi="Arial" w:cs="Arial"/>
          <w:sz w:val="24"/>
          <w:szCs w:val="24"/>
          <w:lang w:eastAsia="pt-BR"/>
        </w:rPr>
      </w:pPr>
      <w:r w:rsidRPr="00A14B54">
        <w:rPr>
          <w:rFonts w:ascii="Arial" w:eastAsia="Times New Roman" w:hAnsi="Arial" w:cs="Arial"/>
          <w:sz w:val="24"/>
          <w:szCs w:val="24"/>
          <w:lang w:eastAsia="pt-BR"/>
        </w:rPr>
        <w:t>Corroborando este entendimento temos o disposto no artigo 13, § 3º da Lei nº 8.666/93:</w:t>
      </w:r>
    </w:p>
    <w:p w14:paraId="0F569F6F" w14:textId="77777777" w:rsidR="002D0198" w:rsidRPr="00F90829" w:rsidRDefault="002D0198" w:rsidP="002D0198">
      <w:pPr>
        <w:spacing w:before="100" w:beforeAutospacing="1" w:after="100" w:afterAutospacing="1" w:line="360" w:lineRule="auto"/>
        <w:ind w:left="1980" w:firstLine="5"/>
        <w:jc w:val="both"/>
        <w:rPr>
          <w:rFonts w:ascii="Arial" w:eastAsia="Times New Roman" w:hAnsi="Arial" w:cs="Arial"/>
          <w:i/>
          <w:lang w:eastAsia="pt-BR"/>
        </w:rPr>
      </w:pPr>
      <w:r w:rsidRPr="00F90829">
        <w:rPr>
          <w:rFonts w:ascii="Arial" w:eastAsia="Times New Roman" w:hAnsi="Arial" w:cs="Arial"/>
          <w:lang w:eastAsia="pt-BR"/>
        </w:rPr>
        <w:lastRenderedPageBreak/>
        <w:t>“</w:t>
      </w:r>
      <w:r w:rsidRPr="00F90829">
        <w:rPr>
          <w:rFonts w:ascii="Arial" w:eastAsia="Times New Roman" w:hAnsi="Arial" w:cs="Arial"/>
          <w:i/>
          <w:lang w:eastAsia="pt-BR"/>
        </w:rPr>
        <w:t>Art. 13(...)</w:t>
      </w:r>
    </w:p>
    <w:p w14:paraId="092F1655" w14:textId="77777777" w:rsidR="002D0198" w:rsidRPr="00F90829" w:rsidRDefault="002D0198" w:rsidP="002D0198">
      <w:pPr>
        <w:spacing w:before="100" w:beforeAutospacing="1" w:after="100" w:afterAutospacing="1" w:line="360" w:lineRule="auto"/>
        <w:ind w:left="1980" w:firstLine="5"/>
        <w:jc w:val="both"/>
        <w:rPr>
          <w:rFonts w:ascii="Arial" w:eastAsia="Times New Roman" w:hAnsi="Arial" w:cs="Arial"/>
          <w:i/>
          <w:lang w:eastAsia="pt-BR"/>
        </w:rPr>
      </w:pPr>
      <w:r w:rsidRPr="00F90829">
        <w:rPr>
          <w:rFonts w:ascii="Arial" w:eastAsia="Times New Roman" w:hAnsi="Arial" w:cs="Arial"/>
          <w:i/>
          <w:lang w:eastAsia="pt-BR"/>
        </w:rPr>
        <w:t>§ 3º A empresa prestadora de serviços técnicos especializados que apresente relação de integrantes de seu corpo técnico em procedimento licitatório ou como elemento de justificação de dispensa ou inexigibilidade de licitação, ficará obrigada a garantir que os referidos integrantes realizem pessoal e diretamente os serviços objeto do contrato”.</w:t>
      </w:r>
    </w:p>
    <w:p w14:paraId="6E786669" w14:textId="77777777" w:rsidR="002D0198" w:rsidRPr="00A14B54" w:rsidRDefault="002D0198" w:rsidP="002D0198">
      <w:pPr>
        <w:spacing w:before="100" w:beforeAutospacing="1" w:after="120" w:line="360" w:lineRule="auto"/>
        <w:ind w:firstLine="1134"/>
        <w:jc w:val="both"/>
        <w:rPr>
          <w:rFonts w:ascii="Arial" w:eastAsia="Times New Roman" w:hAnsi="Arial" w:cs="Arial"/>
          <w:sz w:val="24"/>
          <w:szCs w:val="24"/>
          <w:lang w:eastAsia="pt-BR"/>
        </w:rPr>
      </w:pPr>
      <w:r w:rsidRPr="00A14B54">
        <w:rPr>
          <w:rFonts w:ascii="Arial" w:eastAsia="Times New Roman" w:hAnsi="Arial" w:cs="Arial"/>
          <w:sz w:val="24"/>
          <w:szCs w:val="24"/>
          <w:lang w:eastAsia="pt-BR"/>
        </w:rPr>
        <w:t xml:space="preserve">No mesmo sentido o Ilustre </w:t>
      </w:r>
      <w:proofErr w:type="spellStart"/>
      <w:r w:rsidRPr="00A14B54">
        <w:rPr>
          <w:rFonts w:ascii="Arial" w:eastAsia="Times New Roman" w:hAnsi="Arial" w:cs="Arial"/>
          <w:sz w:val="24"/>
          <w:szCs w:val="24"/>
          <w:lang w:eastAsia="pt-BR"/>
        </w:rPr>
        <w:t>Jacoby</w:t>
      </w:r>
      <w:proofErr w:type="spellEnd"/>
      <w:r w:rsidRPr="00A14B54">
        <w:rPr>
          <w:rFonts w:ascii="Arial" w:eastAsia="Times New Roman" w:hAnsi="Arial" w:cs="Arial"/>
          <w:sz w:val="24"/>
          <w:szCs w:val="24"/>
          <w:lang w:eastAsia="pt-BR"/>
        </w:rPr>
        <w:t xml:space="preserve"> Fernandes:</w:t>
      </w:r>
    </w:p>
    <w:p w14:paraId="1BFDB871" w14:textId="77777777" w:rsidR="002D0198" w:rsidRPr="00F90829" w:rsidRDefault="002D0198" w:rsidP="002D0198">
      <w:pPr>
        <w:spacing w:before="100" w:beforeAutospacing="1" w:after="100" w:afterAutospacing="1" w:line="360" w:lineRule="auto"/>
        <w:ind w:left="1980" w:firstLine="5"/>
        <w:jc w:val="both"/>
        <w:rPr>
          <w:rFonts w:ascii="Arial" w:eastAsia="Times New Roman" w:hAnsi="Arial" w:cs="Arial"/>
          <w:i/>
          <w:lang w:eastAsia="pt-BR"/>
        </w:rPr>
      </w:pPr>
      <w:r w:rsidRPr="00F90829">
        <w:rPr>
          <w:rFonts w:ascii="Arial" w:eastAsia="Times New Roman" w:hAnsi="Arial" w:cs="Arial"/>
          <w:i/>
          <w:lang w:eastAsia="pt-BR"/>
        </w:rPr>
        <w:t>“A reputação da notoriedade só precisa alcançar os profissionais que se dedicam a uma atividade, sendo absolutamente dispensável, ou impertinente, a fama comum, que a imprensa não especializada incentiva” (in ob. cit. – pg. 316).”</w:t>
      </w:r>
    </w:p>
    <w:p w14:paraId="6F9988E9" w14:textId="4A7D0756" w:rsidR="002D0198" w:rsidRPr="00A14B54" w:rsidRDefault="002D0198" w:rsidP="002D0198">
      <w:pPr>
        <w:spacing w:before="100" w:beforeAutospacing="1" w:after="120" w:line="360" w:lineRule="auto"/>
        <w:ind w:firstLine="1134"/>
        <w:jc w:val="both"/>
        <w:rPr>
          <w:rFonts w:ascii="Arial" w:eastAsia="Times New Roman" w:hAnsi="Arial" w:cs="Arial"/>
          <w:sz w:val="24"/>
          <w:szCs w:val="24"/>
          <w:lang w:eastAsia="pt-BR"/>
        </w:rPr>
      </w:pPr>
      <w:r w:rsidRPr="00A14B54">
        <w:rPr>
          <w:rFonts w:ascii="Arial" w:eastAsia="Times New Roman" w:hAnsi="Arial" w:cs="Arial"/>
          <w:sz w:val="24"/>
          <w:szCs w:val="24"/>
          <w:lang w:eastAsia="pt-BR"/>
        </w:rPr>
        <w:t xml:space="preserve">Nesse raciocínio, temos que </w:t>
      </w:r>
      <w:r w:rsidRPr="000C772A">
        <w:rPr>
          <w:rFonts w:ascii="Arial" w:eastAsia="Times New Roman" w:hAnsi="Arial" w:cs="Arial"/>
          <w:b/>
          <w:sz w:val="24"/>
          <w:szCs w:val="24"/>
          <w:lang w:eastAsia="pt-BR"/>
        </w:rPr>
        <w:t>a notória especialização reside na formação dos professores/palestrantes em se tratando de contratação de serviço de treinamento</w:t>
      </w:r>
      <w:r w:rsidR="00C80E80">
        <w:rPr>
          <w:rFonts w:ascii="Arial" w:eastAsia="Times New Roman" w:hAnsi="Arial" w:cs="Arial"/>
          <w:b/>
          <w:sz w:val="24"/>
          <w:szCs w:val="24"/>
          <w:lang w:eastAsia="pt-BR"/>
        </w:rPr>
        <w:t>, capacitação</w:t>
      </w:r>
      <w:r w:rsidRPr="000C772A">
        <w:rPr>
          <w:rFonts w:ascii="Arial" w:eastAsia="Times New Roman" w:hAnsi="Arial" w:cs="Arial"/>
          <w:b/>
          <w:sz w:val="24"/>
          <w:szCs w:val="24"/>
          <w:lang w:eastAsia="pt-BR"/>
        </w:rPr>
        <w:t xml:space="preserve"> e aperfeiçoamento de pessoal</w:t>
      </w:r>
      <w:r w:rsidRPr="00A14B54">
        <w:rPr>
          <w:rFonts w:ascii="Arial" w:eastAsia="Times New Roman" w:hAnsi="Arial" w:cs="Arial"/>
          <w:sz w:val="24"/>
          <w:szCs w:val="24"/>
          <w:lang w:eastAsia="pt-BR"/>
        </w:rPr>
        <w:t xml:space="preserve">. Hely Lopes Meirelles define a notória especialização como uma </w:t>
      </w:r>
      <w:r w:rsidRPr="000C772A">
        <w:rPr>
          <w:rFonts w:ascii="Arial" w:eastAsia="Times New Roman" w:hAnsi="Arial" w:cs="Arial"/>
          <w:i/>
          <w:sz w:val="24"/>
          <w:szCs w:val="24"/>
          <w:lang w:eastAsia="pt-BR"/>
        </w:rPr>
        <w:t xml:space="preserve">“característica daqueles profissionais que, além da habilitação técnica e profissional, exigida para os profissionais em geral, foram além em sua formação, </w:t>
      </w:r>
      <w:r w:rsidRPr="000C772A">
        <w:rPr>
          <w:rFonts w:ascii="Arial" w:eastAsia="Times New Roman" w:hAnsi="Arial" w:cs="Arial"/>
          <w:i/>
          <w:sz w:val="24"/>
          <w:szCs w:val="24"/>
          <w:u w:val="single"/>
          <w:lang w:eastAsia="pt-BR"/>
        </w:rPr>
        <w:t>participando de cursos de especialização, pós-graduação, participação em congressos e seminários, possuindo obras técnicas (artigos e livros) publicadas, além de participação ativa e constante na vida acadêmica</w:t>
      </w:r>
      <w:r w:rsidRPr="00A14B54">
        <w:rPr>
          <w:rFonts w:ascii="Arial" w:eastAsia="Times New Roman" w:hAnsi="Arial" w:cs="Arial"/>
          <w:sz w:val="24"/>
          <w:szCs w:val="24"/>
          <w:lang w:eastAsia="pt-BR"/>
        </w:rPr>
        <w:t>”.</w:t>
      </w:r>
    </w:p>
    <w:p w14:paraId="702645E2" w14:textId="77777777" w:rsidR="002D0198" w:rsidRPr="00A14B54" w:rsidRDefault="002D0198" w:rsidP="002D0198">
      <w:pPr>
        <w:spacing w:before="100" w:beforeAutospacing="1" w:after="120" w:line="360" w:lineRule="auto"/>
        <w:ind w:firstLine="1134"/>
        <w:jc w:val="both"/>
        <w:rPr>
          <w:rFonts w:ascii="Arial" w:eastAsia="Times New Roman" w:hAnsi="Arial" w:cs="Arial"/>
          <w:sz w:val="24"/>
          <w:szCs w:val="24"/>
          <w:lang w:eastAsia="pt-BR"/>
        </w:rPr>
      </w:pPr>
      <w:r w:rsidRPr="00A14B54">
        <w:rPr>
          <w:rFonts w:ascii="Arial" w:eastAsia="Times New Roman" w:hAnsi="Arial" w:cs="Arial"/>
          <w:sz w:val="24"/>
          <w:szCs w:val="24"/>
          <w:lang w:eastAsia="pt-BR"/>
        </w:rPr>
        <w:t xml:space="preserve">A Orientação Normativa da AGU nº 18/2009 não </w:t>
      </w:r>
      <w:r>
        <w:rPr>
          <w:rFonts w:ascii="Arial" w:eastAsia="Times New Roman" w:hAnsi="Arial" w:cs="Arial"/>
          <w:sz w:val="24"/>
          <w:szCs w:val="24"/>
          <w:lang w:eastAsia="pt-BR"/>
        </w:rPr>
        <w:t>foge</w:t>
      </w:r>
      <w:r w:rsidRPr="00A14B54">
        <w:rPr>
          <w:rFonts w:ascii="Arial" w:eastAsia="Times New Roman" w:hAnsi="Arial" w:cs="Arial"/>
          <w:sz w:val="24"/>
          <w:szCs w:val="24"/>
          <w:lang w:eastAsia="pt-BR"/>
        </w:rPr>
        <w:t xml:space="preserve"> desse entendimento, tendo constado de sua fundamentação:</w:t>
      </w:r>
    </w:p>
    <w:p w14:paraId="0753D708" w14:textId="77777777" w:rsidR="002D0198" w:rsidRPr="00A14B54" w:rsidRDefault="002D0198" w:rsidP="002D0198">
      <w:pPr>
        <w:spacing w:before="100" w:beforeAutospacing="1" w:after="100" w:afterAutospacing="1" w:line="240" w:lineRule="auto"/>
        <w:ind w:left="1980" w:firstLine="1134"/>
        <w:jc w:val="both"/>
        <w:rPr>
          <w:rFonts w:ascii="Arial" w:eastAsia="Times New Roman" w:hAnsi="Arial" w:cs="Arial"/>
          <w:sz w:val="24"/>
          <w:szCs w:val="24"/>
          <w:lang w:eastAsia="pt-BR"/>
        </w:rPr>
      </w:pPr>
      <w:r w:rsidRPr="00A14B54">
        <w:rPr>
          <w:rFonts w:ascii="Arial" w:eastAsia="Times New Roman" w:hAnsi="Arial" w:cs="Arial"/>
          <w:sz w:val="24"/>
          <w:szCs w:val="24"/>
          <w:lang w:eastAsia="pt-BR"/>
        </w:rPr>
        <w:t>“(...)</w:t>
      </w:r>
    </w:p>
    <w:p w14:paraId="366CFEFC" w14:textId="77777777" w:rsidR="002D0198" w:rsidRPr="001C089C" w:rsidRDefault="002D0198" w:rsidP="002D0198">
      <w:pPr>
        <w:spacing w:after="0" w:line="360" w:lineRule="auto"/>
        <w:ind w:left="1980" w:firstLine="5"/>
        <w:jc w:val="both"/>
        <w:rPr>
          <w:rFonts w:ascii="Arial" w:eastAsia="Times New Roman" w:hAnsi="Arial" w:cs="Arial"/>
          <w:i/>
          <w:lang w:eastAsia="pt-BR"/>
        </w:rPr>
      </w:pPr>
      <w:r w:rsidRPr="001C089C">
        <w:rPr>
          <w:rFonts w:ascii="Arial" w:eastAsia="Times New Roman" w:hAnsi="Arial" w:cs="Arial"/>
          <w:i/>
          <w:lang w:eastAsia="pt-BR"/>
        </w:rPr>
        <w:t xml:space="preserve">Ainda, define como sendo de notória especialização o profissional ou empresa cujo conceito no campo de sua especialidade, </w:t>
      </w:r>
      <w:r w:rsidRPr="001C089C">
        <w:rPr>
          <w:rFonts w:ascii="Arial" w:eastAsia="Times New Roman" w:hAnsi="Arial" w:cs="Arial"/>
          <w:b/>
          <w:i/>
          <w:u w:val="single"/>
          <w:lang w:eastAsia="pt-BR"/>
        </w:rPr>
        <w:t>decorrente de desempenho anterior, estudos, experiências, publicações, organização, aparelhamento, equipe técnica, ou de outros requisitos relacionados com suas atividades</w:t>
      </w:r>
      <w:r w:rsidRPr="001C089C">
        <w:rPr>
          <w:rFonts w:ascii="Arial" w:eastAsia="Times New Roman" w:hAnsi="Arial" w:cs="Arial"/>
          <w:i/>
          <w:lang w:eastAsia="pt-BR"/>
        </w:rPr>
        <w:t xml:space="preserve">, permita inferir que o seu trabalho é </w:t>
      </w:r>
      <w:r w:rsidRPr="001C089C">
        <w:rPr>
          <w:rFonts w:ascii="Arial" w:eastAsia="Times New Roman" w:hAnsi="Arial" w:cs="Arial"/>
          <w:i/>
          <w:lang w:eastAsia="pt-BR"/>
        </w:rPr>
        <w:lastRenderedPageBreak/>
        <w:t>essencial e indiscutivelmente o mais adequado à plena satisfação do objeto do contrato”.</w:t>
      </w:r>
    </w:p>
    <w:p w14:paraId="0E7EE26A" w14:textId="77777777" w:rsidR="002D0198" w:rsidRPr="002E4E57" w:rsidRDefault="002D0198" w:rsidP="002D0198">
      <w:pPr>
        <w:spacing w:before="100" w:beforeAutospacing="1" w:after="120" w:line="360" w:lineRule="auto"/>
        <w:ind w:firstLine="1134"/>
        <w:jc w:val="both"/>
        <w:rPr>
          <w:rFonts w:ascii="Arial" w:eastAsia="Times New Roman" w:hAnsi="Arial" w:cs="Arial"/>
          <w:sz w:val="24"/>
          <w:szCs w:val="24"/>
          <w:lang w:eastAsia="pt-BR"/>
        </w:rPr>
      </w:pPr>
      <w:r w:rsidRPr="002E4E57">
        <w:rPr>
          <w:rFonts w:ascii="Arial" w:eastAsia="Times New Roman" w:hAnsi="Arial" w:cs="Arial"/>
          <w:sz w:val="24"/>
          <w:szCs w:val="24"/>
          <w:lang w:eastAsia="pt-BR"/>
        </w:rPr>
        <w:t>O requisito da</w:t>
      </w:r>
      <w:r w:rsidRPr="002E4E57">
        <w:rPr>
          <w:rFonts w:ascii="Arial" w:eastAsia="Times New Roman" w:hAnsi="Arial" w:cs="Arial"/>
          <w:b/>
          <w:sz w:val="24"/>
          <w:szCs w:val="24"/>
          <w:lang w:eastAsia="pt-BR"/>
        </w:rPr>
        <w:t xml:space="preserve"> singularidade do serviço</w:t>
      </w:r>
      <w:r w:rsidRPr="002E4E57">
        <w:rPr>
          <w:rFonts w:ascii="Arial" w:eastAsia="Times New Roman" w:hAnsi="Arial" w:cs="Arial"/>
          <w:sz w:val="24"/>
          <w:szCs w:val="24"/>
          <w:lang w:eastAsia="pt-BR"/>
        </w:rPr>
        <w:t xml:space="preserve"> a ser contratado. A essência da singularidade é distinguir os serviços dos demais a serem prestados. No magistério de Marçal </w:t>
      </w:r>
      <w:proofErr w:type="spellStart"/>
      <w:r w:rsidRPr="002E4E57">
        <w:rPr>
          <w:rFonts w:ascii="Arial" w:eastAsia="Times New Roman" w:hAnsi="Arial" w:cs="Arial"/>
          <w:sz w:val="24"/>
          <w:szCs w:val="24"/>
          <w:lang w:eastAsia="pt-BR"/>
        </w:rPr>
        <w:t>Justen</w:t>
      </w:r>
      <w:proofErr w:type="spellEnd"/>
      <w:r w:rsidRPr="002E4E57">
        <w:rPr>
          <w:rFonts w:ascii="Arial" w:eastAsia="Times New Roman" w:hAnsi="Arial" w:cs="Arial"/>
          <w:sz w:val="24"/>
          <w:szCs w:val="24"/>
          <w:lang w:eastAsia="pt-BR"/>
        </w:rPr>
        <w:t xml:space="preserve"> Filho: </w:t>
      </w:r>
    </w:p>
    <w:p w14:paraId="34C0C052" w14:textId="77777777" w:rsidR="002D0198" w:rsidRPr="001C089C" w:rsidRDefault="002D0198" w:rsidP="002D0198">
      <w:pPr>
        <w:spacing w:after="0" w:line="360" w:lineRule="auto"/>
        <w:ind w:left="1979" w:firstLine="6"/>
        <w:jc w:val="both"/>
        <w:outlineLvl w:val="0"/>
        <w:rPr>
          <w:rFonts w:ascii="Arial" w:eastAsia="Times New Roman" w:hAnsi="Arial" w:cs="Arial"/>
          <w:b/>
          <w:bCs/>
          <w:i/>
          <w:kern w:val="36"/>
          <w:lang w:eastAsia="pt-BR"/>
        </w:rPr>
      </w:pPr>
      <w:r w:rsidRPr="001C089C">
        <w:rPr>
          <w:rFonts w:ascii="Arial" w:eastAsia="Times New Roman" w:hAnsi="Arial" w:cs="Arial"/>
          <w:i/>
          <w:kern w:val="36"/>
          <w:lang w:eastAsia="pt-BR"/>
        </w:rPr>
        <w:t>“</w:t>
      </w:r>
      <w:proofErr w:type="spellStart"/>
      <w:r w:rsidRPr="001C089C">
        <w:rPr>
          <w:rFonts w:ascii="Arial" w:eastAsia="Times New Roman" w:hAnsi="Arial" w:cs="Arial"/>
          <w:i/>
          <w:kern w:val="36"/>
          <w:lang w:eastAsia="pt-BR"/>
        </w:rPr>
        <w:t>a</w:t>
      </w:r>
      <w:proofErr w:type="spellEnd"/>
      <w:r w:rsidRPr="001C089C">
        <w:rPr>
          <w:rFonts w:ascii="Arial" w:eastAsia="Times New Roman" w:hAnsi="Arial" w:cs="Arial"/>
          <w:i/>
          <w:kern w:val="36"/>
          <w:lang w:eastAsia="pt-BR"/>
        </w:rPr>
        <w:t xml:space="preserve"> natureza singular não é propriamente do serviço, </w:t>
      </w:r>
      <w:r w:rsidRPr="001C089C">
        <w:rPr>
          <w:rFonts w:ascii="Arial" w:eastAsia="Times New Roman" w:hAnsi="Arial" w:cs="Arial"/>
          <w:b/>
          <w:bCs/>
          <w:i/>
          <w:kern w:val="36"/>
          <w:u w:val="single"/>
          <w:lang w:eastAsia="pt-BR"/>
        </w:rPr>
        <w:t>mas do interesse público a ser satisfeito.</w:t>
      </w:r>
      <w:r w:rsidRPr="001C089C">
        <w:rPr>
          <w:rFonts w:ascii="Arial" w:eastAsia="Times New Roman" w:hAnsi="Arial" w:cs="Arial"/>
          <w:i/>
          <w:kern w:val="36"/>
          <w:lang w:eastAsia="pt-BR"/>
        </w:rPr>
        <w:t xml:space="preserve"> A peculiaridade do interesse público é refletida na natureza da atividade a ser executada pelo particular. Surge desse modo a singularidade. A questão da singularidade varia conforme o tipo de serviço enfocado e a necessidade pública a ser atendida. </w:t>
      </w:r>
      <w:r w:rsidRPr="001C089C">
        <w:rPr>
          <w:rFonts w:ascii="Arial" w:eastAsia="Times New Roman" w:hAnsi="Arial" w:cs="Arial"/>
          <w:b/>
          <w:bCs/>
          <w:i/>
          <w:kern w:val="36"/>
          <w:u w:val="single"/>
          <w:lang w:eastAsia="pt-BR"/>
        </w:rPr>
        <w:t>Quanto a serviços que não exigem habilitação específica nem desenvolvimento em condições especiais e peculiares, as variações individuais são irrelevantes, desde que o resultado atenda a suas necessidades</w:t>
      </w:r>
      <w:r w:rsidRPr="001C089C">
        <w:rPr>
          <w:rFonts w:ascii="Arial" w:eastAsia="Times New Roman" w:hAnsi="Arial" w:cs="Arial"/>
          <w:i/>
          <w:kern w:val="36"/>
          <w:lang w:eastAsia="pt-BR"/>
        </w:rPr>
        <w:t xml:space="preserve">. Um serviço de limpeza de vidros, por exemplo, configura-se quase como obrigação de fim. Não interessa à Administração o material utilizado ou a forma desenvolvida para retirada dos detritos depositados sobre os vidros. Interessa-lhe que os vidros sejam limpos, tão-somente. Nesse caso, é perfeitamente cabível a competição entre os interessados, impondo-se a licitação. Mas há serviços que exigem habilitação específica, vinculada a determinada capacitação intelectual e material. Não é qualquer ser humano quem poderá satisfazer tais exigências. Em tais hipóteses, verifica-se que a variação no desenvolvimento do serviço individualiza e </w:t>
      </w:r>
      <w:proofErr w:type="spellStart"/>
      <w:r w:rsidRPr="001C089C">
        <w:rPr>
          <w:rFonts w:ascii="Arial" w:eastAsia="Times New Roman" w:hAnsi="Arial" w:cs="Arial"/>
          <w:i/>
          <w:kern w:val="36"/>
          <w:lang w:eastAsia="pt-BR"/>
        </w:rPr>
        <w:t>peculiariza</w:t>
      </w:r>
      <w:proofErr w:type="spellEnd"/>
      <w:r w:rsidRPr="001C089C">
        <w:rPr>
          <w:rFonts w:ascii="Arial" w:eastAsia="Times New Roman" w:hAnsi="Arial" w:cs="Arial"/>
          <w:i/>
          <w:kern w:val="36"/>
          <w:lang w:eastAsia="pt-BR"/>
        </w:rPr>
        <w:t xml:space="preserve"> de tal forma a situação que exclui comparações – isso quando os profissionais habilitados disponham-se a competir entre si. (Decisão 427/1999 – Plenário)” </w:t>
      </w:r>
    </w:p>
    <w:p w14:paraId="619ECC06" w14:textId="2BD0ED62" w:rsidR="002D0198" w:rsidRPr="002E4E57" w:rsidRDefault="002D0198" w:rsidP="002D0198">
      <w:pPr>
        <w:spacing w:before="100" w:beforeAutospacing="1" w:after="120" w:line="360" w:lineRule="auto"/>
        <w:ind w:firstLine="1134"/>
        <w:jc w:val="both"/>
        <w:rPr>
          <w:rFonts w:ascii="Arial" w:eastAsia="Times New Roman" w:hAnsi="Arial" w:cs="Arial"/>
          <w:sz w:val="24"/>
          <w:szCs w:val="24"/>
          <w:lang w:eastAsia="pt-BR"/>
        </w:rPr>
      </w:pPr>
      <w:r w:rsidRPr="002E4E57">
        <w:rPr>
          <w:rFonts w:ascii="Arial" w:eastAsia="Times New Roman" w:hAnsi="Arial" w:cs="Arial"/>
          <w:sz w:val="24"/>
          <w:szCs w:val="24"/>
          <w:lang w:eastAsia="pt-BR"/>
        </w:rPr>
        <w:t>Em se tratando de treinamento</w:t>
      </w:r>
      <w:r w:rsidR="00C80E80">
        <w:rPr>
          <w:rFonts w:ascii="Arial" w:eastAsia="Times New Roman" w:hAnsi="Arial" w:cs="Arial"/>
          <w:sz w:val="24"/>
          <w:szCs w:val="24"/>
          <w:lang w:eastAsia="pt-BR"/>
        </w:rPr>
        <w:t>, capacitação</w:t>
      </w:r>
      <w:r w:rsidRPr="002E4E57">
        <w:rPr>
          <w:rFonts w:ascii="Arial" w:eastAsia="Times New Roman" w:hAnsi="Arial" w:cs="Arial"/>
          <w:sz w:val="24"/>
          <w:szCs w:val="24"/>
          <w:lang w:eastAsia="pt-BR"/>
        </w:rPr>
        <w:t xml:space="preserve"> e aperfeiçoamento de pessoal, </w:t>
      </w:r>
      <w:r w:rsidRPr="002E4E57">
        <w:rPr>
          <w:rFonts w:ascii="Arial" w:eastAsia="Times New Roman" w:hAnsi="Arial" w:cs="Arial"/>
          <w:b/>
          <w:sz w:val="24"/>
          <w:szCs w:val="24"/>
          <w:lang w:eastAsia="pt-BR"/>
        </w:rPr>
        <w:t xml:space="preserve">a singularidade </w:t>
      </w:r>
      <w:r w:rsidRPr="00D13BD2">
        <w:rPr>
          <w:rFonts w:ascii="Arial" w:eastAsia="Times New Roman" w:hAnsi="Arial" w:cs="Arial"/>
          <w:sz w:val="24"/>
          <w:szCs w:val="24"/>
          <w:lang w:eastAsia="pt-BR"/>
        </w:rPr>
        <w:t>que leva a inviabilidade de competição decorre</w:t>
      </w:r>
      <w:r w:rsidRPr="002E4E57">
        <w:rPr>
          <w:rFonts w:ascii="Arial" w:eastAsia="Times New Roman" w:hAnsi="Arial" w:cs="Arial"/>
          <w:b/>
          <w:sz w:val="24"/>
          <w:szCs w:val="24"/>
          <w:lang w:eastAsia="pt-BR"/>
        </w:rPr>
        <w:t xml:space="preserve"> </w:t>
      </w:r>
      <w:r w:rsidRPr="002E4E57">
        <w:rPr>
          <w:rFonts w:ascii="Arial" w:eastAsia="Times New Roman" w:hAnsi="Arial" w:cs="Arial"/>
          <w:sz w:val="24"/>
          <w:szCs w:val="24"/>
          <w:lang w:eastAsia="pt-BR"/>
        </w:rPr>
        <w:t xml:space="preserve">dos critérios objetivos e subjetivos relacionados aos professores/palestrantes, a saber: </w:t>
      </w:r>
      <w:r w:rsidRPr="00D13BD2">
        <w:rPr>
          <w:rFonts w:ascii="Arial" w:eastAsia="Times New Roman" w:hAnsi="Arial" w:cs="Arial"/>
          <w:sz w:val="24"/>
          <w:szCs w:val="24"/>
          <w:lang w:eastAsia="pt-BR"/>
        </w:rPr>
        <w:t>didática, forma de exposição do conteúdo, domínio do assunto, quantidade de cursos ministrados, formação acadêmica,</w:t>
      </w:r>
      <w:r w:rsidRPr="002E4E57">
        <w:rPr>
          <w:rFonts w:ascii="Arial" w:eastAsia="Times New Roman" w:hAnsi="Arial" w:cs="Arial"/>
          <w:sz w:val="24"/>
          <w:szCs w:val="24"/>
          <w:lang w:eastAsia="pt-BR"/>
        </w:rPr>
        <w:t xml:space="preserve"> etc.</w:t>
      </w:r>
      <w:r>
        <w:rPr>
          <w:rFonts w:ascii="Arial" w:eastAsia="Times New Roman" w:hAnsi="Arial" w:cs="Arial"/>
          <w:sz w:val="24"/>
          <w:szCs w:val="24"/>
          <w:lang w:eastAsia="pt-BR"/>
        </w:rPr>
        <w:t xml:space="preserve"> Características presentes no</w:t>
      </w:r>
      <w:r w:rsidR="00C80E80">
        <w:rPr>
          <w:rFonts w:ascii="Arial" w:eastAsia="Times New Roman" w:hAnsi="Arial" w:cs="Arial"/>
          <w:sz w:val="24"/>
          <w:szCs w:val="24"/>
          <w:lang w:eastAsia="pt-BR"/>
        </w:rPr>
        <w:t>s</w:t>
      </w:r>
      <w:r>
        <w:rPr>
          <w:rFonts w:ascii="Arial" w:eastAsia="Times New Roman" w:hAnsi="Arial" w:cs="Arial"/>
          <w:sz w:val="24"/>
          <w:szCs w:val="24"/>
          <w:lang w:eastAsia="pt-BR"/>
        </w:rPr>
        <w:t xml:space="preserve"> profissiona</w:t>
      </w:r>
      <w:r w:rsidR="00C80E80">
        <w:rPr>
          <w:rFonts w:ascii="Arial" w:eastAsia="Times New Roman" w:hAnsi="Arial" w:cs="Arial"/>
          <w:sz w:val="24"/>
          <w:szCs w:val="24"/>
          <w:lang w:eastAsia="pt-BR"/>
        </w:rPr>
        <w:t>is</w:t>
      </w:r>
      <w:r>
        <w:rPr>
          <w:rFonts w:ascii="Arial" w:eastAsia="Times New Roman" w:hAnsi="Arial" w:cs="Arial"/>
          <w:sz w:val="24"/>
          <w:szCs w:val="24"/>
          <w:lang w:eastAsia="pt-BR"/>
        </w:rPr>
        <w:t xml:space="preserve"> que </w:t>
      </w:r>
      <w:r w:rsidR="00C80E80">
        <w:rPr>
          <w:rFonts w:ascii="Arial" w:eastAsia="Times New Roman" w:hAnsi="Arial" w:cs="Arial"/>
          <w:sz w:val="24"/>
          <w:szCs w:val="24"/>
          <w:lang w:eastAsia="pt-BR"/>
        </w:rPr>
        <w:t>realizam a capacitação</w:t>
      </w:r>
      <w:r>
        <w:rPr>
          <w:rFonts w:ascii="Arial" w:eastAsia="Times New Roman" w:hAnsi="Arial" w:cs="Arial"/>
          <w:sz w:val="24"/>
          <w:szCs w:val="24"/>
          <w:lang w:eastAsia="pt-BR"/>
        </w:rPr>
        <w:t>, por meio da empresa MR Treinamentos Ltda.</w:t>
      </w:r>
    </w:p>
    <w:p w14:paraId="2405F1E6" w14:textId="77777777" w:rsidR="002D0198" w:rsidRPr="002E4E57" w:rsidRDefault="002D0198" w:rsidP="002D0198">
      <w:pPr>
        <w:spacing w:before="100" w:beforeAutospacing="1" w:after="120" w:line="360" w:lineRule="auto"/>
        <w:ind w:firstLine="1134"/>
        <w:jc w:val="both"/>
        <w:rPr>
          <w:rFonts w:ascii="Arial" w:eastAsia="Times New Roman" w:hAnsi="Arial" w:cs="Arial"/>
          <w:sz w:val="24"/>
          <w:szCs w:val="24"/>
          <w:lang w:eastAsia="pt-BR"/>
        </w:rPr>
      </w:pPr>
      <w:r w:rsidRPr="002E4E57">
        <w:rPr>
          <w:rFonts w:ascii="Arial" w:eastAsia="Times New Roman" w:hAnsi="Arial" w:cs="Arial"/>
          <w:sz w:val="24"/>
          <w:szCs w:val="24"/>
          <w:lang w:eastAsia="pt-BR"/>
        </w:rPr>
        <w:lastRenderedPageBreak/>
        <w:t>Insta destacar que a Advocacia-Geral da União</w:t>
      </w:r>
      <w:r>
        <w:rPr>
          <w:rFonts w:ascii="Arial" w:eastAsia="Times New Roman" w:hAnsi="Arial" w:cs="Arial"/>
          <w:sz w:val="24"/>
          <w:szCs w:val="24"/>
          <w:lang w:eastAsia="pt-BR"/>
        </w:rPr>
        <w:t xml:space="preserve"> - AGU</w:t>
      </w:r>
      <w:r w:rsidRPr="002E4E57">
        <w:rPr>
          <w:rFonts w:ascii="Arial" w:eastAsia="Times New Roman" w:hAnsi="Arial" w:cs="Arial"/>
          <w:sz w:val="24"/>
          <w:szCs w:val="24"/>
          <w:lang w:eastAsia="pt-BR"/>
        </w:rPr>
        <w:t>, por meio da Orientação Normativa nº 18/2009 expediu a seguinte recomendação:</w:t>
      </w:r>
    </w:p>
    <w:p w14:paraId="131DD7BA" w14:textId="77777777" w:rsidR="002D0198" w:rsidRPr="001C089C" w:rsidRDefault="002D0198" w:rsidP="002D0198">
      <w:pPr>
        <w:spacing w:before="100" w:beforeAutospacing="1" w:after="100" w:afterAutospacing="1" w:line="360" w:lineRule="auto"/>
        <w:ind w:left="1980" w:firstLine="5"/>
        <w:jc w:val="both"/>
        <w:rPr>
          <w:rFonts w:ascii="Arial" w:eastAsia="Times New Roman" w:hAnsi="Arial" w:cs="Arial"/>
          <w:i/>
          <w:lang w:eastAsia="pt-BR"/>
        </w:rPr>
      </w:pPr>
      <w:r w:rsidRPr="001C089C">
        <w:rPr>
          <w:rFonts w:ascii="Arial" w:eastAsia="Times New Roman" w:hAnsi="Arial" w:cs="Arial"/>
          <w:i/>
          <w:lang w:eastAsia="pt-BR"/>
        </w:rPr>
        <w:t xml:space="preserve">Assuntos: AGU e INEXIGIBILIDADE DE LICITAÇÃO. Orientação Normativa/ AGU nº 18, de 01.04.2009 (DOU de 07.04.2009, S. 1, p. 14) - “Contrata- se por inexigibilidade de licitação com fundamento no art. 25, inc. II, da Lei nº 8.666, de 1993, conferencistas para ministrar cursos para treinamento e aperfeiçoamento de pessoal, ou a inscrição em cursos abertos, </w:t>
      </w:r>
      <w:r w:rsidRPr="001C089C">
        <w:rPr>
          <w:rFonts w:ascii="Arial" w:eastAsia="Times New Roman" w:hAnsi="Arial" w:cs="Arial"/>
          <w:b/>
          <w:bCs/>
          <w:i/>
          <w:u w:val="single"/>
          <w:lang w:eastAsia="pt-BR"/>
        </w:rPr>
        <w:t>desde que caracterizada a singularidade do objeto e verificado tratar-se de notório especialista”.</w:t>
      </w:r>
      <w:r w:rsidRPr="001C089C">
        <w:rPr>
          <w:rFonts w:ascii="Arial" w:eastAsia="Times New Roman" w:hAnsi="Arial" w:cs="Arial"/>
          <w:i/>
          <w:lang w:eastAsia="pt-BR"/>
        </w:rPr>
        <w:t xml:space="preserve"> </w:t>
      </w:r>
    </w:p>
    <w:p w14:paraId="7AE9C5DF" w14:textId="77777777" w:rsidR="002D0198" w:rsidRPr="002E4E57" w:rsidRDefault="002D0198" w:rsidP="002D0198">
      <w:pPr>
        <w:spacing w:before="100" w:beforeAutospacing="1" w:after="120" w:line="360" w:lineRule="auto"/>
        <w:ind w:firstLine="1134"/>
        <w:jc w:val="both"/>
        <w:rPr>
          <w:rFonts w:ascii="Arial" w:eastAsia="Times New Roman" w:hAnsi="Arial" w:cs="Arial"/>
          <w:sz w:val="24"/>
          <w:szCs w:val="24"/>
          <w:lang w:eastAsia="pt-BR"/>
        </w:rPr>
      </w:pPr>
      <w:r w:rsidRPr="002E4E57">
        <w:rPr>
          <w:rFonts w:ascii="Arial" w:eastAsia="Times New Roman" w:hAnsi="Arial" w:cs="Arial"/>
          <w:sz w:val="24"/>
          <w:szCs w:val="24"/>
          <w:lang w:eastAsia="pt-BR"/>
        </w:rPr>
        <w:t>Com efeito, na fundamentação da orientação normativa acima citada constou:</w:t>
      </w:r>
    </w:p>
    <w:p w14:paraId="7558EAE7" w14:textId="77777777" w:rsidR="002D0198" w:rsidRPr="001C089C" w:rsidRDefault="002D0198" w:rsidP="002D0198">
      <w:pPr>
        <w:spacing w:after="0" w:line="360" w:lineRule="auto"/>
        <w:ind w:left="1979" w:firstLine="6"/>
        <w:jc w:val="both"/>
        <w:rPr>
          <w:rFonts w:ascii="Arial" w:eastAsia="Times New Roman" w:hAnsi="Arial" w:cs="Arial"/>
          <w:i/>
          <w:lang w:eastAsia="pt-BR"/>
        </w:rPr>
      </w:pPr>
      <w:r w:rsidRPr="001C089C">
        <w:rPr>
          <w:rFonts w:ascii="Arial" w:eastAsia="Times New Roman" w:hAnsi="Arial" w:cs="Arial"/>
          <w:i/>
          <w:lang w:eastAsia="pt-BR"/>
        </w:rPr>
        <w:t xml:space="preserve">Na Decisão 439/1998-Plenário, por sua vez, a Corte de Contas consignou a extrema necessidade e importância do treinamento e aperfeiçoamento de servidores para a excelência do serviço público, e definiu como serviço singular todo aquele que verse sobre treinamento diferenciado em relação ao convencional ou rotineiro do mercado. </w:t>
      </w:r>
      <w:r w:rsidRPr="001C089C">
        <w:rPr>
          <w:rFonts w:ascii="Arial" w:eastAsia="Times New Roman" w:hAnsi="Arial" w:cs="Arial"/>
          <w:b/>
          <w:i/>
          <w:u w:val="single"/>
          <w:lang w:eastAsia="pt-BR"/>
        </w:rPr>
        <w:t>Sugeriu que seriam singulares aqueles cursos desenvolvidos ou adaptados especificamente para o atendimento das necessidades do contratante ou voltados para as peculiaridades dos prováveis treinandos.</w:t>
      </w:r>
    </w:p>
    <w:p w14:paraId="6F389986" w14:textId="77777777" w:rsidR="002D0198" w:rsidRPr="002E4E57" w:rsidRDefault="002D0198" w:rsidP="002D0198">
      <w:pPr>
        <w:spacing w:before="100" w:beforeAutospacing="1" w:after="120" w:line="360" w:lineRule="auto"/>
        <w:ind w:firstLine="1134"/>
        <w:jc w:val="both"/>
        <w:rPr>
          <w:rFonts w:ascii="Arial" w:eastAsia="Times New Roman" w:hAnsi="Arial" w:cs="Arial"/>
          <w:sz w:val="24"/>
          <w:szCs w:val="24"/>
          <w:lang w:eastAsia="pt-BR"/>
        </w:rPr>
      </w:pPr>
      <w:r w:rsidRPr="002E4E57">
        <w:rPr>
          <w:rFonts w:ascii="Arial" w:eastAsia="Times New Roman" w:hAnsi="Arial" w:cs="Arial"/>
          <w:sz w:val="24"/>
          <w:szCs w:val="24"/>
          <w:lang w:eastAsia="pt-BR"/>
        </w:rPr>
        <w:t>Em complemento cite-se a Súmula nº 264/2011 do TCU mencionada pela área técnica (fl. 81-v):</w:t>
      </w:r>
    </w:p>
    <w:p w14:paraId="6966A263" w14:textId="77777777" w:rsidR="002D0198" w:rsidRPr="001C089C" w:rsidRDefault="002D0198" w:rsidP="002D0198">
      <w:pPr>
        <w:spacing w:after="120" w:line="360" w:lineRule="auto"/>
        <w:ind w:left="1980" w:firstLine="5"/>
        <w:jc w:val="both"/>
        <w:rPr>
          <w:rFonts w:ascii="Arial" w:eastAsia="Times New Roman" w:hAnsi="Arial" w:cs="Arial"/>
          <w:lang w:eastAsia="pt-BR"/>
        </w:rPr>
      </w:pPr>
      <w:r w:rsidRPr="001C089C">
        <w:rPr>
          <w:rFonts w:ascii="Arial" w:eastAsia="Times New Roman" w:hAnsi="Arial" w:cs="Arial"/>
          <w:lang w:eastAsia="pt-BR"/>
        </w:rPr>
        <w:t xml:space="preserve">“A </w:t>
      </w:r>
      <w:r w:rsidRPr="001C089C">
        <w:rPr>
          <w:rFonts w:ascii="Arial" w:eastAsia="Times New Roman" w:hAnsi="Arial" w:cs="Arial"/>
          <w:bCs/>
          <w:lang w:eastAsia="pt-BR"/>
        </w:rPr>
        <w:t>inexigibilidade de licitação</w:t>
      </w:r>
      <w:r w:rsidRPr="001C089C">
        <w:rPr>
          <w:rFonts w:ascii="Arial" w:eastAsia="Times New Roman" w:hAnsi="Arial" w:cs="Arial"/>
          <w:lang w:eastAsia="pt-BR"/>
        </w:rPr>
        <w:t xml:space="preserve"> para a contratação de </w:t>
      </w:r>
      <w:r w:rsidRPr="001C089C">
        <w:rPr>
          <w:rFonts w:ascii="Arial" w:eastAsia="Times New Roman" w:hAnsi="Arial" w:cs="Arial"/>
          <w:bCs/>
          <w:lang w:eastAsia="pt-BR"/>
        </w:rPr>
        <w:t>serviços técnicos</w:t>
      </w:r>
      <w:r w:rsidRPr="001C089C">
        <w:rPr>
          <w:rFonts w:ascii="Arial" w:eastAsia="Times New Roman" w:hAnsi="Arial" w:cs="Arial"/>
          <w:lang w:eastAsia="pt-BR"/>
        </w:rPr>
        <w:t xml:space="preserve"> com pessoas físicas ou </w:t>
      </w:r>
      <w:r w:rsidRPr="001C089C">
        <w:rPr>
          <w:rFonts w:ascii="Arial" w:eastAsia="Times New Roman" w:hAnsi="Arial" w:cs="Arial"/>
          <w:u w:val="single"/>
          <w:lang w:eastAsia="pt-BR"/>
        </w:rPr>
        <w:t>jurídicas</w:t>
      </w:r>
      <w:r w:rsidRPr="001C089C">
        <w:rPr>
          <w:rFonts w:ascii="Arial" w:eastAsia="Times New Roman" w:hAnsi="Arial" w:cs="Arial"/>
          <w:lang w:eastAsia="pt-BR"/>
        </w:rPr>
        <w:t xml:space="preserve"> de </w:t>
      </w:r>
      <w:r w:rsidRPr="001C089C">
        <w:rPr>
          <w:rFonts w:ascii="Arial" w:eastAsia="Times New Roman" w:hAnsi="Arial" w:cs="Arial"/>
          <w:bCs/>
          <w:lang w:eastAsia="pt-BR"/>
        </w:rPr>
        <w:t>notória especialização</w:t>
      </w:r>
      <w:r w:rsidRPr="001C089C">
        <w:rPr>
          <w:rFonts w:ascii="Arial" w:eastAsia="Times New Roman" w:hAnsi="Arial" w:cs="Arial"/>
          <w:lang w:eastAsia="pt-BR"/>
        </w:rPr>
        <w:t xml:space="preserve"> somente é cabível quando se tratar de serviço de natureza singular, capaz de exigir, na seleção do</w:t>
      </w:r>
      <w:r w:rsidRPr="001C089C">
        <w:rPr>
          <w:rFonts w:ascii="Arial" w:eastAsia="Times New Roman" w:hAnsi="Arial" w:cs="Arial"/>
          <w:u w:val="single"/>
          <w:lang w:eastAsia="pt-BR"/>
        </w:rPr>
        <w:t xml:space="preserve"> executor de confiança</w:t>
      </w:r>
      <w:r w:rsidRPr="001C089C">
        <w:rPr>
          <w:rFonts w:ascii="Arial" w:eastAsia="Times New Roman" w:hAnsi="Arial" w:cs="Arial"/>
          <w:lang w:eastAsia="pt-BR"/>
        </w:rPr>
        <w:t>, grau de subjetividade insuscetível de ser medido pelos critérios objetivos de qualificação inerentes ao processo de licitação, nos termos do art. 25, inciso II, da Lei nº 8.666/1993.” (Ac. 1.437/2011-P).</w:t>
      </w:r>
    </w:p>
    <w:p w14:paraId="2170A1C8" w14:textId="77777777" w:rsidR="002D0198" w:rsidRPr="002E4E57" w:rsidRDefault="002D0198" w:rsidP="002D0198">
      <w:pPr>
        <w:spacing w:before="100" w:beforeAutospacing="1" w:after="120" w:line="360" w:lineRule="auto"/>
        <w:ind w:firstLine="1134"/>
        <w:jc w:val="both"/>
        <w:rPr>
          <w:rFonts w:ascii="Arial" w:eastAsia="Times New Roman" w:hAnsi="Arial" w:cs="Arial"/>
          <w:sz w:val="24"/>
          <w:szCs w:val="24"/>
          <w:lang w:eastAsia="pt-BR"/>
        </w:rPr>
      </w:pPr>
      <w:r w:rsidRPr="002E4E57">
        <w:rPr>
          <w:rFonts w:ascii="Arial" w:eastAsia="Times New Roman" w:hAnsi="Arial" w:cs="Arial"/>
          <w:sz w:val="24"/>
          <w:szCs w:val="24"/>
          <w:lang w:eastAsia="pt-BR"/>
        </w:rPr>
        <w:lastRenderedPageBreak/>
        <w:t>Conforme se depreende da súmula acima transcrita, em que pese a notória especialização do executor do serviço, a singularidade também deve restar demonstrada de modo a configurar a inviabilidade de competição.</w:t>
      </w:r>
    </w:p>
    <w:p w14:paraId="78FB4C1F" w14:textId="77777777" w:rsidR="002D0198" w:rsidRPr="00444802" w:rsidRDefault="002D0198" w:rsidP="002D0198">
      <w:pPr>
        <w:spacing w:before="100" w:beforeAutospacing="1" w:after="120" w:line="360" w:lineRule="auto"/>
        <w:ind w:firstLine="1134"/>
        <w:jc w:val="both"/>
        <w:rPr>
          <w:rFonts w:ascii="Arial" w:eastAsia="Times New Roman" w:hAnsi="Arial" w:cs="Arial"/>
          <w:sz w:val="24"/>
          <w:szCs w:val="24"/>
          <w:lang w:eastAsia="pt-BR"/>
        </w:rPr>
      </w:pPr>
      <w:r w:rsidRPr="00444802">
        <w:rPr>
          <w:rFonts w:ascii="Arial" w:eastAsia="Times New Roman" w:hAnsi="Arial" w:cs="Arial"/>
          <w:sz w:val="24"/>
          <w:szCs w:val="24"/>
          <w:lang w:eastAsia="pt-BR"/>
        </w:rPr>
        <w:t xml:space="preserve">É dizer, ainda que o Administrador disponha de “n” empresas detentoras de notória especialização, é preciso que reste caracterizada a singularidade do objeto fornecido e também do fornecedor do serviço. </w:t>
      </w:r>
    </w:p>
    <w:p w14:paraId="5BA432A0" w14:textId="77777777" w:rsidR="002D0198" w:rsidRPr="002E4E57" w:rsidRDefault="002D0198" w:rsidP="002D0198">
      <w:pPr>
        <w:spacing w:before="100" w:beforeAutospacing="1" w:after="120" w:line="360" w:lineRule="auto"/>
        <w:ind w:firstLine="1134"/>
        <w:jc w:val="both"/>
        <w:rPr>
          <w:rFonts w:ascii="Arial" w:eastAsia="Times New Roman" w:hAnsi="Arial" w:cs="Arial"/>
          <w:sz w:val="24"/>
          <w:szCs w:val="24"/>
          <w:lang w:eastAsia="pt-BR"/>
        </w:rPr>
      </w:pPr>
      <w:r w:rsidRPr="002E4E57">
        <w:rPr>
          <w:rFonts w:ascii="Arial" w:eastAsia="Times New Roman" w:hAnsi="Arial" w:cs="Arial"/>
          <w:sz w:val="24"/>
          <w:szCs w:val="24"/>
          <w:lang w:eastAsia="pt-BR"/>
        </w:rPr>
        <w:t>Nesse sentido, a singularidade do objeto é caracterizada quando aquele serviço é o único que atende aos interesses da Administração com peculiaridades específicas, fator que impede a adoção de critérios objetivos.</w:t>
      </w:r>
    </w:p>
    <w:p w14:paraId="45371D95" w14:textId="77777777" w:rsidR="002D0198" w:rsidRPr="002E4E57" w:rsidRDefault="002D0198" w:rsidP="002D0198">
      <w:pPr>
        <w:spacing w:before="100" w:beforeAutospacing="1" w:after="120" w:line="360" w:lineRule="auto"/>
        <w:ind w:firstLine="1134"/>
        <w:jc w:val="both"/>
        <w:rPr>
          <w:rFonts w:ascii="Arial" w:eastAsia="Times New Roman" w:hAnsi="Arial" w:cs="Arial"/>
          <w:sz w:val="24"/>
          <w:szCs w:val="24"/>
          <w:lang w:eastAsia="pt-BR"/>
        </w:rPr>
      </w:pPr>
      <w:r w:rsidRPr="002E4E57">
        <w:rPr>
          <w:rFonts w:ascii="Arial" w:eastAsia="Times New Roman" w:hAnsi="Arial" w:cs="Arial"/>
          <w:sz w:val="24"/>
          <w:szCs w:val="24"/>
          <w:lang w:eastAsia="pt-BR"/>
        </w:rPr>
        <w:t xml:space="preserve">Quanto à singularidade exigida para o fornecedor do serviço entende-se que o fator norteador </w:t>
      </w:r>
      <w:r w:rsidRPr="00B3537E">
        <w:rPr>
          <w:rFonts w:ascii="Arial" w:eastAsia="Times New Roman" w:hAnsi="Arial" w:cs="Arial"/>
          <w:b/>
          <w:sz w:val="24"/>
          <w:szCs w:val="24"/>
          <w:lang w:eastAsia="pt-BR"/>
        </w:rPr>
        <w:t>é a confiança</w:t>
      </w:r>
      <w:r w:rsidRPr="002E4E57">
        <w:rPr>
          <w:rFonts w:ascii="Arial" w:eastAsia="Times New Roman" w:hAnsi="Arial" w:cs="Arial"/>
          <w:sz w:val="24"/>
          <w:szCs w:val="24"/>
          <w:lang w:eastAsia="pt-BR"/>
        </w:rPr>
        <w:t xml:space="preserve"> que advém da notória especialização da empresa contratada.</w:t>
      </w:r>
    </w:p>
    <w:p w14:paraId="6E76C7D3" w14:textId="77777777" w:rsidR="002D0198" w:rsidRPr="002E4E57" w:rsidRDefault="002D0198" w:rsidP="002D0198">
      <w:pPr>
        <w:spacing w:before="100" w:beforeAutospacing="1" w:after="120" w:line="360" w:lineRule="auto"/>
        <w:ind w:firstLine="1134"/>
        <w:jc w:val="both"/>
        <w:rPr>
          <w:rFonts w:ascii="Arial" w:eastAsia="Times New Roman" w:hAnsi="Arial" w:cs="Arial"/>
          <w:sz w:val="24"/>
          <w:szCs w:val="24"/>
          <w:lang w:eastAsia="pt-BR"/>
        </w:rPr>
      </w:pPr>
      <w:r w:rsidRPr="002E4E57">
        <w:rPr>
          <w:rFonts w:ascii="Arial" w:eastAsia="Times New Roman" w:hAnsi="Arial" w:cs="Arial"/>
          <w:sz w:val="24"/>
          <w:szCs w:val="24"/>
          <w:lang w:eastAsia="pt-BR"/>
        </w:rPr>
        <w:t>Acerca do tema, discorre Renato Geraldo Mendes</w:t>
      </w:r>
      <w:bookmarkStart w:id="0" w:name="_ftnref2"/>
      <w:r w:rsidRPr="002E4E57">
        <w:rPr>
          <w:rFonts w:ascii="Arial" w:eastAsia="Times New Roman" w:hAnsi="Arial" w:cs="Arial"/>
          <w:sz w:val="24"/>
          <w:szCs w:val="24"/>
          <w:u w:val="single"/>
          <w:lang w:eastAsia="pt-BR"/>
        </w:rPr>
        <w:t>[2]</w:t>
      </w:r>
      <w:bookmarkEnd w:id="0"/>
      <w:r w:rsidRPr="002E4E57">
        <w:rPr>
          <w:rFonts w:ascii="Arial" w:eastAsia="Times New Roman" w:hAnsi="Arial" w:cs="Arial"/>
          <w:sz w:val="24"/>
          <w:szCs w:val="24"/>
          <w:lang w:eastAsia="pt-BR"/>
        </w:rPr>
        <w:t>:</w:t>
      </w:r>
    </w:p>
    <w:p w14:paraId="5DDCDCAA" w14:textId="77777777" w:rsidR="002D0198" w:rsidRPr="001C089C" w:rsidRDefault="002D0198" w:rsidP="002D0198">
      <w:pPr>
        <w:spacing w:after="120" w:line="360" w:lineRule="auto"/>
        <w:ind w:left="1980" w:firstLine="5"/>
        <w:jc w:val="both"/>
        <w:rPr>
          <w:rFonts w:ascii="Arial" w:eastAsia="Times New Roman" w:hAnsi="Arial" w:cs="Arial"/>
          <w:i/>
          <w:lang w:eastAsia="pt-BR"/>
        </w:rPr>
      </w:pPr>
      <w:r w:rsidRPr="001C089C">
        <w:rPr>
          <w:rFonts w:ascii="Arial" w:eastAsia="Times New Roman" w:hAnsi="Arial" w:cs="Arial"/>
          <w:i/>
          <w:lang w:eastAsia="pt-BR"/>
        </w:rPr>
        <w:t>Portanto, o agente não tem total liberdade para selecionar qualquer um que desejar. Ele tem liberdade de escolher um entre os notoriamente especializados, o que não afasta a devida e necessária justificativa da escolha realizada.</w:t>
      </w:r>
    </w:p>
    <w:p w14:paraId="7D0A5F10" w14:textId="7C4E5CDA" w:rsidR="002D0198" w:rsidRDefault="002D0198" w:rsidP="002D0198">
      <w:pPr>
        <w:spacing w:before="240" w:after="120" w:line="360" w:lineRule="auto"/>
        <w:ind w:firstLine="1134"/>
        <w:jc w:val="both"/>
        <w:rPr>
          <w:rFonts w:ascii="Arial" w:eastAsia="Times New Roman" w:hAnsi="Arial" w:cs="Arial"/>
          <w:sz w:val="24"/>
          <w:szCs w:val="24"/>
          <w:lang w:eastAsia="pt-BR"/>
        </w:rPr>
      </w:pPr>
      <w:r>
        <w:rPr>
          <w:rFonts w:ascii="Arial" w:eastAsia="Times New Roman" w:hAnsi="Arial" w:cs="Arial"/>
          <w:sz w:val="24"/>
          <w:szCs w:val="24"/>
          <w:lang w:eastAsia="pt-BR"/>
        </w:rPr>
        <w:t xml:space="preserve">Quanto à contratação direta de pessoa jurídica para ministrar </w:t>
      </w:r>
      <w:r w:rsidR="00C80E80">
        <w:rPr>
          <w:rFonts w:ascii="Arial" w:eastAsia="Times New Roman" w:hAnsi="Arial" w:cs="Arial"/>
          <w:sz w:val="24"/>
          <w:szCs w:val="24"/>
          <w:lang w:eastAsia="pt-BR"/>
        </w:rPr>
        <w:t xml:space="preserve">capacitação de servidores de forma </w:t>
      </w:r>
      <w:r>
        <w:rPr>
          <w:rFonts w:ascii="Arial" w:eastAsia="Times New Roman" w:hAnsi="Arial" w:cs="Arial"/>
          <w:sz w:val="24"/>
          <w:szCs w:val="24"/>
          <w:lang w:eastAsia="pt-BR"/>
        </w:rPr>
        <w:t>fechad</w:t>
      </w:r>
      <w:r w:rsidR="00C80E80">
        <w:rPr>
          <w:rFonts w:ascii="Arial" w:eastAsia="Times New Roman" w:hAnsi="Arial" w:cs="Arial"/>
          <w:sz w:val="24"/>
          <w:szCs w:val="24"/>
          <w:lang w:eastAsia="pt-BR"/>
        </w:rPr>
        <w:t>a</w:t>
      </w:r>
      <w:r>
        <w:rPr>
          <w:rFonts w:ascii="Arial" w:eastAsia="Times New Roman" w:hAnsi="Arial" w:cs="Arial"/>
          <w:sz w:val="24"/>
          <w:szCs w:val="24"/>
          <w:lang w:eastAsia="pt-BR"/>
        </w:rPr>
        <w:t xml:space="preserve">, a AGU firmou entendimento que é perfeitamente possível de ser enquadrada nas regras do </w:t>
      </w:r>
      <w:r w:rsidRPr="002E4E57">
        <w:rPr>
          <w:rFonts w:ascii="Arial" w:eastAsia="Times New Roman" w:hAnsi="Arial" w:cs="Arial"/>
          <w:sz w:val="24"/>
          <w:szCs w:val="24"/>
          <w:lang w:eastAsia="pt-BR"/>
        </w:rPr>
        <w:t xml:space="preserve">artigo 25, inciso II </w:t>
      </w:r>
      <w:r w:rsidRPr="0025287F">
        <w:rPr>
          <w:rFonts w:ascii="Arial" w:eastAsia="Times New Roman" w:hAnsi="Arial" w:cs="Arial"/>
          <w:sz w:val="24"/>
          <w:szCs w:val="24"/>
          <w:lang w:eastAsia="pt-BR"/>
        </w:rPr>
        <w:t>c/c artigo 13 da Lei nº 8.666/93</w:t>
      </w:r>
      <w:r>
        <w:rPr>
          <w:rFonts w:ascii="Arial" w:eastAsia="Times New Roman" w:hAnsi="Arial" w:cs="Arial"/>
          <w:sz w:val="24"/>
          <w:szCs w:val="24"/>
          <w:lang w:eastAsia="pt-BR"/>
        </w:rPr>
        <w:t>, conforme manifestação apresentada no Parecer nº 03/2013/CPLC/DEPCONSU/PGF/AGU, de 05/06/2013.</w:t>
      </w:r>
    </w:p>
    <w:p w14:paraId="11EDEBF1" w14:textId="77777777" w:rsidR="002D0198" w:rsidRPr="001C089C" w:rsidRDefault="002D0198" w:rsidP="002D0198">
      <w:pPr>
        <w:spacing w:before="240" w:after="120" w:line="360" w:lineRule="auto"/>
        <w:ind w:left="1701"/>
        <w:jc w:val="both"/>
        <w:rPr>
          <w:rFonts w:ascii="Arial" w:eastAsia="Times New Roman" w:hAnsi="Arial" w:cs="Arial"/>
          <w:i/>
          <w:lang w:eastAsia="pt-BR"/>
        </w:rPr>
      </w:pPr>
      <w:r w:rsidRPr="001C089C">
        <w:rPr>
          <w:rFonts w:ascii="Arial" w:eastAsia="Times New Roman" w:hAnsi="Arial" w:cs="Arial"/>
          <w:i/>
          <w:lang w:eastAsia="pt-BR"/>
        </w:rPr>
        <w:t xml:space="preserve">“Ainda, a Lei nº 8.666/93, a tratar da inexigibilidade do art. 25, II, não fez qualquer distinção entre contratar pessoas físicas ou jurídicas. Não se pode, portanto, vedar a contratação de pessoas jurídicas para ministrar cursos fechados por inexigibilidade se estiverem presentes os pressupostos da inexigibilidade delineados no art. 25, II, § 1º, da Lei nº 8666/93 e nas Súmulas TCU nº 252/2010 e nº 264/2011. Acentua-se que a inexigibilidade </w:t>
      </w:r>
      <w:r w:rsidRPr="001C089C">
        <w:rPr>
          <w:rFonts w:ascii="Arial" w:eastAsia="Times New Roman" w:hAnsi="Arial" w:cs="Arial"/>
          <w:i/>
          <w:lang w:eastAsia="pt-BR"/>
        </w:rPr>
        <w:lastRenderedPageBreak/>
        <w:t xml:space="preserve">resulta de uma inviabilidade real de competição ou, nas palavras de </w:t>
      </w:r>
      <w:proofErr w:type="spellStart"/>
      <w:r w:rsidRPr="001C089C">
        <w:rPr>
          <w:rFonts w:ascii="Arial" w:eastAsia="Times New Roman" w:hAnsi="Arial" w:cs="Arial"/>
          <w:i/>
          <w:lang w:eastAsia="pt-BR"/>
        </w:rPr>
        <w:t>Egon</w:t>
      </w:r>
      <w:proofErr w:type="spellEnd"/>
      <w:r w:rsidRPr="001C089C">
        <w:rPr>
          <w:rFonts w:ascii="Arial" w:eastAsia="Times New Roman" w:hAnsi="Arial" w:cs="Arial"/>
          <w:i/>
          <w:lang w:eastAsia="pt-BR"/>
        </w:rPr>
        <w:t xml:space="preserve"> </w:t>
      </w:r>
      <w:proofErr w:type="spellStart"/>
      <w:r w:rsidRPr="001C089C">
        <w:rPr>
          <w:rFonts w:ascii="Arial" w:eastAsia="Times New Roman" w:hAnsi="Arial" w:cs="Arial"/>
          <w:i/>
          <w:lang w:eastAsia="pt-BR"/>
        </w:rPr>
        <w:t>Bockmann</w:t>
      </w:r>
      <w:proofErr w:type="spellEnd"/>
      <w:r w:rsidRPr="001C089C">
        <w:rPr>
          <w:rFonts w:ascii="Arial" w:eastAsia="Times New Roman" w:hAnsi="Arial" w:cs="Arial"/>
          <w:i/>
          <w:lang w:eastAsia="pt-BR"/>
        </w:rPr>
        <w:t xml:space="preserve"> Moreira e Fernando </w:t>
      </w:r>
      <w:proofErr w:type="spellStart"/>
      <w:r w:rsidRPr="001C089C">
        <w:rPr>
          <w:rFonts w:ascii="Arial" w:eastAsia="Times New Roman" w:hAnsi="Arial" w:cs="Arial"/>
          <w:i/>
          <w:lang w:eastAsia="pt-BR"/>
        </w:rPr>
        <w:t>Vernalha</w:t>
      </w:r>
      <w:proofErr w:type="spellEnd"/>
      <w:r w:rsidRPr="001C089C">
        <w:rPr>
          <w:rFonts w:ascii="Arial" w:eastAsia="Times New Roman" w:hAnsi="Arial" w:cs="Arial"/>
          <w:i/>
          <w:lang w:eastAsia="pt-BR"/>
        </w:rPr>
        <w:t xml:space="preserve"> Guimarães, de um “pressuposto fático”, de modo que não faz sentido vedar a incidência do art. 25, II, da Lei 8.666/93 sobre a contratação de cursos fechados ministrados por pessoas jurídicas, quando presentes os pressupostos reais de inviabilidade absoluta de competição.”</w:t>
      </w:r>
    </w:p>
    <w:p w14:paraId="6F812B3B" w14:textId="77777777" w:rsidR="002D0198" w:rsidRPr="001C089C" w:rsidRDefault="002D0198" w:rsidP="002D0198">
      <w:pPr>
        <w:spacing w:before="240" w:after="120" w:line="360" w:lineRule="auto"/>
        <w:ind w:left="1701"/>
        <w:jc w:val="both"/>
        <w:rPr>
          <w:rFonts w:ascii="Arial" w:eastAsia="Times New Roman" w:hAnsi="Arial" w:cs="Arial"/>
          <w:i/>
          <w:lang w:eastAsia="pt-BR"/>
        </w:rPr>
      </w:pPr>
      <w:r w:rsidRPr="001C089C">
        <w:rPr>
          <w:rFonts w:ascii="Arial" w:eastAsia="Times New Roman" w:hAnsi="Arial" w:cs="Arial"/>
          <w:i/>
          <w:lang w:eastAsia="pt-BR"/>
        </w:rPr>
        <w:t>Assim, se o curso fechado para treinamento e aperfeiçoamento de pessoal (art. 13, VI, da Lei 8666/93) notabilizar-se pela “marca pessoal (ou coletiva), expressada em características científicas, técnicas ou artísticas importantes, ou seja, se resulta de “um componente criativo de seu autor, envolvendo o estilo, o traço, a engenhosidade, a especial habilidade, a contribuição intelectual, artística, ou a argúcia de quem a executa, atributos, estes, que são precisamente os que a Administração reputa convenientes e necessita para satisfação do interesse público em causa”, há de se reconhecer a singularidade que, aliada à notória especialização da pessoal física ou jurídica (art. 25, II, § 1º da Lei 8666/93), daria azo à contratação direta fundada no art. 25, II, da Lei nº 8.666/93.</w:t>
      </w:r>
    </w:p>
    <w:p w14:paraId="4964567E" w14:textId="77777777" w:rsidR="002D0198" w:rsidRPr="001C089C" w:rsidRDefault="002D0198" w:rsidP="002D0198">
      <w:pPr>
        <w:spacing w:before="240" w:after="120" w:line="360" w:lineRule="auto"/>
        <w:ind w:left="1701"/>
        <w:jc w:val="both"/>
        <w:rPr>
          <w:rFonts w:ascii="Arial" w:eastAsia="Times New Roman" w:hAnsi="Arial" w:cs="Arial"/>
          <w:i/>
          <w:lang w:eastAsia="pt-BR"/>
        </w:rPr>
      </w:pPr>
      <w:r w:rsidRPr="001C089C">
        <w:rPr>
          <w:rFonts w:ascii="Arial" w:eastAsia="Times New Roman" w:hAnsi="Arial" w:cs="Arial"/>
          <w:i/>
          <w:lang w:eastAsia="pt-BR"/>
        </w:rPr>
        <w:t>...................................................................................................</w:t>
      </w:r>
    </w:p>
    <w:p w14:paraId="2956F485" w14:textId="77777777" w:rsidR="002D0198" w:rsidRPr="001C089C" w:rsidRDefault="002D0198" w:rsidP="002D0198">
      <w:pPr>
        <w:spacing w:before="240" w:after="120" w:line="360" w:lineRule="auto"/>
        <w:ind w:left="1701"/>
        <w:jc w:val="both"/>
        <w:rPr>
          <w:rFonts w:ascii="Arial" w:eastAsia="Times New Roman" w:hAnsi="Arial" w:cs="Arial"/>
          <w:i/>
          <w:lang w:eastAsia="pt-BR"/>
        </w:rPr>
      </w:pPr>
      <w:r w:rsidRPr="001C089C">
        <w:rPr>
          <w:rFonts w:ascii="Arial" w:eastAsia="Times New Roman" w:hAnsi="Arial" w:cs="Arial"/>
          <w:i/>
          <w:lang w:eastAsia="pt-BR"/>
        </w:rPr>
        <w:t>Pelo exposto, deve-se concluir que a Orientação Normativa AGU nº 18/2009 não obsta a contratação direta por inexigibilidade de pessoa jurídica para ministrar curso fechado para a Administração Pública, desde que presentes os pressupostos do art. 25, II, § 1º, da Lei 8666/93” – serviços técnicos especializados, natureza singular e notória especialização do contratado.</w:t>
      </w:r>
    </w:p>
    <w:p w14:paraId="07EF5681" w14:textId="75A10531" w:rsidR="002D0198" w:rsidRPr="000D63B6" w:rsidRDefault="002D0198" w:rsidP="002D0198">
      <w:pPr>
        <w:pStyle w:val="NormalWeb"/>
        <w:shd w:val="clear" w:color="auto" w:fill="FFFFFF"/>
        <w:spacing w:before="0" w:after="240" w:line="371" w:lineRule="atLeast"/>
        <w:ind w:firstLine="1134"/>
        <w:jc w:val="both"/>
        <w:rPr>
          <w:rFonts w:ascii="Arial" w:hAnsi="Arial" w:cs="Arial"/>
          <w:color w:val="282828"/>
          <w:spacing w:val="8"/>
          <w:lang w:eastAsia="pt-BR"/>
        </w:rPr>
      </w:pPr>
      <w:r>
        <w:rPr>
          <w:rFonts w:ascii="Arial" w:hAnsi="Arial" w:cs="Arial"/>
          <w:lang w:eastAsia="pt-BR"/>
        </w:rPr>
        <w:t>Além disso, o valor a ser dispendido na contratação encontra-se a preço de mercado praticado pela própria empresa em outr</w:t>
      </w:r>
      <w:r w:rsidR="00C80E80">
        <w:rPr>
          <w:rFonts w:ascii="Arial" w:hAnsi="Arial" w:cs="Arial"/>
          <w:lang w:eastAsia="pt-BR"/>
        </w:rPr>
        <w:t>as capacitações</w:t>
      </w:r>
      <w:r>
        <w:rPr>
          <w:rFonts w:ascii="Arial" w:hAnsi="Arial" w:cs="Arial"/>
          <w:lang w:eastAsia="pt-BR"/>
        </w:rPr>
        <w:t xml:space="preserve"> semelhante, conforme contratos e notas fiscais apresentadas. O próprio TCU, no</w:t>
      </w:r>
      <w:r w:rsidRPr="000D63B6">
        <w:rPr>
          <w:rFonts w:ascii="Arial" w:hAnsi="Arial" w:cs="Arial"/>
          <w:color w:val="282828"/>
          <w:spacing w:val="8"/>
          <w:lang w:eastAsia="pt-BR"/>
        </w:rPr>
        <w:t xml:space="preserve"> Informativo de Licitações e Contratos n. 361, adentrou essa análise</w:t>
      </w:r>
      <w:r>
        <w:rPr>
          <w:rFonts w:ascii="Arial" w:hAnsi="Arial" w:cs="Arial"/>
          <w:color w:val="282828"/>
          <w:spacing w:val="8"/>
          <w:lang w:eastAsia="pt-BR"/>
        </w:rPr>
        <w:t xml:space="preserve"> da seguinte forma:</w:t>
      </w:r>
    </w:p>
    <w:p w14:paraId="03D65195" w14:textId="77777777" w:rsidR="002D0198" w:rsidRPr="000D63B6" w:rsidRDefault="002D0198" w:rsidP="002D0198">
      <w:pPr>
        <w:shd w:val="clear" w:color="auto" w:fill="FFFFFF"/>
        <w:spacing w:after="100" w:line="371" w:lineRule="atLeast"/>
        <w:ind w:left="1701"/>
        <w:jc w:val="both"/>
        <w:rPr>
          <w:rFonts w:ascii="Arial" w:eastAsia="Times New Roman" w:hAnsi="Arial" w:cs="Arial"/>
          <w:i/>
          <w:iCs/>
          <w:color w:val="CCCCCC"/>
          <w:spacing w:val="8"/>
          <w:lang w:eastAsia="pt-BR"/>
        </w:rPr>
      </w:pPr>
      <w:r w:rsidRPr="00F90829">
        <w:rPr>
          <w:rFonts w:ascii="Arial" w:eastAsia="Times New Roman" w:hAnsi="Arial" w:cs="Arial"/>
          <w:bCs/>
          <w:i/>
          <w:iCs/>
          <w:color w:val="000000"/>
          <w:spacing w:val="8"/>
          <w:bdr w:val="none" w:sz="0" w:space="0" w:color="auto" w:frame="1"/>
          <w:lang w:eastAsia="pt-BR"/>
        </w:rPr>
        <w:t xml:space="preserve">“2. A justificativa de preço em contratação decorrente de inexigibilidade de licitação (art. 26, parágrafo único, inciso III, da Lei 8.666/1993) pode ser feita mediante a comparação do valor ofertado </w:t>
      </w:r>
      <w:r w:rsidRPr="00F90829">
        <w:rPr>
          <w:rFonts w:ascii="Arial" w:eastAsia="Times New Roman" w:hAnsi="Arial" w:cs="Arial"/>
          <w:bCs/>
          <w:i/>
          <w:iCs/>
          <w:color w:val="000000"/>
          <w:spacing w:val="8"/>
          <w:bdr w:val="none" w:sz="0" w:space="0" w:color="auto" w:frame="1"/>
          <w:lang w:eastAsia="pt-BR"/>
        </w:rPr>
        <w:lastRenderedPageBreak/>
        <w:t>com aqueles praticados pelo contratado junto a outros entes públicos ou privados, em avenças envolvendo o mesmo objeto ou objeto similar.</w:t>
      </w:r>
    </w:p>
    <w:p w14:paraId="500475E1" w14:textId="2D18C219" w:rsidR="002D0198" w:rsidRDefault="002D0198" w:rsidP="002D0198">
      <w:pPr>
        <w:spacing w:before="240" w:after="120" w:line="360" w:lineRule="auto"/>
        <w:ind w:firstLine="1134"/>
        <w:jc w:val="both"/>
        <w:rPr>
          <w:rFonts w:ascii="Arial" w:eastAsia="Times New Roman" w:hAnsi="Arial" w:cs="Arial"/>
          <w:sz w:val="24"/>
          <w:szCs w:val="24"/>
          <w:lang w:eastAsia="pt-BR"/>
        </w:rPr>
      </w:pPr>
      <w:r>
        <w:rPr>
          <w:rFonts w:ascii="Arial" w:eastAsia="Times New Roman" w:hAnsi="Arial" w:cs="Arial"/>
          <w:sz w:val="24"/>
          <w:szCs w:val="24"/>
          <w:lang w:eastAsia="pt-BR"/>
        </w:rPr>
        <w:t>Observa-se que os valores da despesa estão compatíveis com aqueles praticado pela própria empresa no âmbito de outros municípios</w:t>
      </w:r>
      <w:r w:rsidR="00C80E80">
        <w:rPr>
          <w:rFonts w:ascii="Arial" w:eastAsia="Times New Roman" w:hAnsi="Arial" w:cs="Arial"/>
          <w:sz w:val="24"/>
          <w:szCs w:val="24"/>
          <w:lang w:eastAsia="pt-BR"/>
        </w:rPr>
        <w:t>.</w:t>
      </w:r>
    </w:p>
    <w:p w14:paraId="472EFEFA" w14:textId="0AF5A918" w:rsidR="0072169F" w:rsidRDefault="002D0198" w:rsidP="002D0198">
      <w:pPr>
        <w:spacing w:after="0" w:line="360" w:lineRule="auto"/>
        <w:ind w:left="278" w:firstLine="1134"/>
        <w:jc w:val="both"/>
        <w:rPr>
          <w:rFonts w:ascii="Arial" w:eastAsia="Times New Roman" w:hAnsi="Arial" w:cs="Arial"/>
          <w:sz w:val="24"/>
          <w:szCs w:val="24"/>
        </w:rPr>
      </w:pPr>
      <w:r w:rsidRPr="00444802">
        <w:rPr>
          <w:rFonts w:ascii="Arial" w:eastAsia="Times New Roman" w:hAnsi="Arial" w:cs="Arial"/>
          <w:sz w:val="24"/>
          <w:szCs w:val="24"/>
          <w:lang w:eastAsia="pt-BR"/>
        </w:rPr>
        <w:t xml:space="preserve">Desse modo, conclui-se que a </w:t>
      </w:r>
      <w:r w:rsidR="00C80E80">
        <w:rPr>
          <w:rFonts w:ascii="Arial" w:eastAsia="Times New Roman" w:hAnsi="Arial" w:cs="Arial"/>
          <w:sz w:val="24"/>
          <w:szCs w:val="24"/>
          <w:lang w:eastAsia="pt-BR"/>
        </w:rPr>
        <w:t>realização de capacitação por meio de acompanhamento remoto de servidores deste Município,</w:t>
      </w:r>
      <w:r>
        <w:rPr>
          <w:rFonts w:ascii="Arial" w:eastAsia="Times New Roman" w:hAnsi="Arial" w:cs="Arial"/>
          <w:sz w:val="24"/>
          <w:szCs w:val="24"/>
          <w:lang w:eastAsia="pt-BR"/>
        </w:rPr>
        <w:t xml:space="preserve"> </w:t>
      </w:r>
      <w:r w:rsidR="00C80E80">
        <w:rPr>
          <w:rFonts w:ascii="Arial" w:eastAsia="Times New Roman" w:hAnsi="Arial" w:cs="Arial"/>
          <w:sz w:val="24"/>
          <w:szCs w:val="24"/>
          <w:lang w:eastAsia="pt-BR"/>
        </w:rPr>
        <w:t>realizado</w:t>
      </w:r>
      <w:r>
        <w:rPr>
          <w:rFonts w:ascii="Arial" w:eastAsia="Times New Roman" w:hAnsi="Arial" w:cs="Arial"/>
          <w:sz w:val="24"/>
          <w:szCs w:val="24"/>
          <w:lang w:eastAsia="pt-BR"/>
        </w:rPr>
        <w:t xml:space="preserve"> pelo</w:t>
      </w:r>
      <w:r w:rsidR="00C80E80">
        <w:rPr>
          <w:rFonts w:ascii="Arial" w:eastAsia="Times New Roman" w:hAnsi="Arial" w:cs="Arial"/>
          <w:sz w:val="24"/>
          <w:szCs w:val="24"/>
          <w:lang w:eastAsia="pt-BR"/>
        </w:rPr>
        <w:t>s</w:t>
      </w:r>
      <w:r>
        <w:rPr>
          <w:rFonts w:ascii="Arial" w:eastAsia="Times New Roman" w:hAnsi="Arial" w:cs="Arial"/>
          <w:sz w:val="24"/>
          <w:szCs w:val="24"/>
          <w:lang w:eastAsia="pt-BR"/>
        </w:rPr>
        <w:t xml:space="preserve"> Professor</w:t>
      </w:r>
      <w:r w:rsidR="00C80E80">
        <w:rPr>
          <w:rFonts w:ascii="Arial" w:eastAsia="Times New Roman" w:hAnsi="Arial" w:cs="Arial"/>
          <w:sz w:val="24"/>
          <w:szCs w:val="24"/>
          <w:lang w:eastAsia="pt-BR"/>
        </w:rPr>
        <w:t>es</w:t>
      </w:r>
      <w:r>
        <w:rPr>
          <w:rFonts w:ascii="Arial" w:eastAsia="Times New Roman" w:hAnsi="Arial" w:cs="Arial"/>
          <w:sz w:val="24"/>
          <w:szCs w:val="24"/>
          <w:lang w:eastAsia="pt-BR"/>
        </w:rPr>
        <w:t xml:space="preserve"> Marcos Roberto</w:t>
      </w:r>
      <w:r w:rsidR="00C80E80">
        <w:rPr>
          <w:rFonts w:ascii="Arial" w:eastAsia="Times New Roman" w:hAnsi="Arial" w:cs="Arial"/>
          <w:sz w:val="24"/>
          <w:szCs w:val="24"/>
          <w:lang w:eastAsia="pt-BR"/>
        </w:rPr>
        <w:t xml:space="preserve"> e Vinícius Lima, por meio da empresa MR TREINAMENTOS LTDA</w:t>
      </w:r>
      <w:r>
        <w:rPr>
          <w:rFonts w:ascii="Arial" w:eastAsia="Times New Roman" w:hAnsi="Arial" w:cs="Arial"/>
          <w:sz w:val="24"/>
          <w:szCs w:val="24"/>
          <w:lang w:eastAsia="pt-BR"/>
        </w:rPr>
        <w:t>,</w:t>
      </w:r>
      <w:r w:rsidRPr="00444802">
        <w:rPr>
          <w:rFonts w:ascii="Arial" w:eastAsia="Times New Roman" w:hAnsi="Arial" w:cs="Arial"/>
          <w:sz w:val="24"/>
          <w:szCs w:val="24"/>
          <w:lang w:eastAsia="pt-BR"/>
        </w:rPr>
        <w:t xml:space="preserve"> é regular, via inexigibilidade de licitação, pois preenche os requisitos previstos no artigo 25, inciso II c/c artigo 13 da Lei nº 8.666/93</w:t>
      </w:r>
      <w:r>
        <w:rPr>
          <w:rFonts w:ascii="Arial" w:eastAsia="Times New Roman" w:hAnsi="Arial" w:cs="Arial"/>
          <w:sz w:val="24"/>
          <w:szCs w:val="24"/>
          <w:lang w:eastAsia="pt-BR"/>
        </w:rPr>
        <w:t>, bem como os valores a serem dispendidos estão compatíveis com os de mercado praticados pela própria empresa a ser contratada.</w:t>
      </w:r>
    </w:p>
    <w:p w14:paraId="17D8672D" w14:textId="77777777" w:rsidR="0072169F" w:rsidRDefault="0072169F" w:rsidP="002D0198">
      <w:pPr>
        <w:spacing w:after="0" w:line="240" w:lineRule="auto"/>
        <w:ind w:left="280" w:firstLine="1134"/>
        <w:jc w:val="both"/>
        <w:rPr>
          <w:rFonts w:ascii="Arial" w:eastAsia="Times New Roman" w:hAnsi="Arial" w:cs="Arial"/>
          <w:sz w:val="24"/>
          <w:szCs w:val="24"/>
        </w:rPr>
      </w:pPr>
    </w:p>
    <w:p w14:paraId="63FAE3B7" w14:textId="77777777" w:rsidR="0072169F" w:rsidRPr="0072169F" w:rsidRDefault="0072169F" w:rsidP="0072169F">
      <w:pPr>
        <w:spacing w:after="0" w:line="240" w:lineRule="auto"/>
        <w:ind w:left="280"/>
        <w:jc w:val="center"/>
        <w:rPr>
          <w:rFonts w:ascii="Arial" w:eastAsia="Times New Roman" w:hAnsi="Arial" w:cs="Arial"/>
          <w:sz w:val="24"/>
          <w:szCs w:val="24"/>
        </w:rPr>
      </w:pPr>
    </w:p>
    <w:p w14:paraId="70F88A12" w14:textId="514A06B7" w:rsidR="0072169F" w:rsidRPr="00CE6173" w:rsidRDefault="00454663" w:rsidP="0072169F">
      <w:pPr>
        <w:spacing w:after="0" w:line="240" w:lineRule="auto"/>
        <w:ind w:left="280"/>
        <w:jc w:val="center"/>
        <w:rPr>
          <w:rFonts w:ascii="Arial" w:eastAsia="Times New Roman" w:hAnsi="Arial" w:cs="Arial"/>
          <w:sz w:val="24"/>
          <w:szCs w:val="24"/>
        </w:rPr>
      </w:pPr>
      <w:r>
        <w:rPr>
          <w:rFonts w:ascii="Arial" w:eastAsia="Times New Roman" w:hAnsi="Arial" w:cs="Arial"/>
          <w:sz w:val="24"/>
          <w:szCs w:val="24"/>
        </w:rPr>
        <w:t xml:space="preserve">João </w:t>
      </w:r>
      <w:proofErr w:type="spellStart"/>
      <w:r>
        <w:rPr>
          <w:rFonts w:ascii="Arial" w:eastAsia="Times New Roman" w:hAnsi="Arial" w:cs="Arial"/>
          <w:sz w:val="24"/>
          <w:szCs w:val="24"/>
        </w:rPr>
        <w:t>Bucioli</w:t>
      </w:r>
      <w:proofErr w:type="spellEnd"/>
      <w:r>
        <w:rPr>
          <w:rFonts w:ascii="Arial" w:eastAsia="Times New Roman" w:hAnsi="Arial" w:cs="Arial"/>
          <w:sz w:val="24"/>
          <w:szCs w:val="24"/>
        </w:rPr>
        <w:t xml:space="preserve"> de Souza</w:t>
      </w:r>
    </w:p>
    <w:p w14:paraId="0BABD5F9" w14:textId="7AE64294" w:rsidR="0072169F" w:rsidRPr="00CE6173" w:rsidRDefault="00454663" w:rsidP="00454663">
      <w:pPr>
        <w:spacing w:after="0" w:line="240" w:lineRule="auto"/>
        <w:ind w:left="280"/>
        <w:jc w:val="center"/>
        <w:rPr>
          <w:rFonts w:ascii="Arial" w:eastAsia="Times New Roman" w:hAnsi="Arial" w:cs="Arial"/>
          <w:sz w:val="24"/>
          <w:szCs w:val="24"/>
        </w:rPr>
      </w:pPr>
      <w:r>
        <w:rPr>
          <w:rFonts w:ascii="Arial" w:eastAsia="Times New Roman" w:hAnsi="Arial" w:cs="Arial"/>
          <w:sz w:val="24"/>
          <w:szCs w:val="24"/>
        </w:rPr>
        <w:t>Secretário Municipal de Administração</w:t>
      </w:r>
      <w:bookmarkStart w:id="1" w:name="_GoBack"/>
      <w:bookmarkEnd w:id="1"/>
    </w:p>
    <w:p w14:paraId="2FF85294" w14:textId="77777777" w:rsidR="0072169F" w:rsidRPr="00CE6173" w:rsidRDefault="0072169F" w:rsidP="0072169F">
      <w:pPr>
        <w:spacing w:after="0" w:line="240" w:lineRule="auto"/>
        <w:contextualSpacing/>
        <w:jc w:val="center"/>
        <w:rPr>
          <w:rFonts w:ascii="Arial" w:eastAsia="Times New Roman" w:hAnsi="Arial" w:cs="Arial"/>
          <w:sz w:val="24"/>
          <w:szCs w:val="24"/>
        </w:rPr>
      </w:pPr>
    </w:p>
    <w:p w14:paraId="7085AE0D" w14:textId="0D29E909" w:rsidR="00921AB5" w:rsidRPr="00684D19" w:rsidRDefault="00921AB5" w:rsidP="00684D19">
      <w:pPr>
        <w:rPr>
          <w:rFonts w:ascii="Arial" w:eastAsia="Times New Roman" w:hAnsi="Arial" w:cs="Arial"/>
          <w:sz w:val="24"/>
          <w:szCs w:val="24"/>
        </w:rPr>
      </w:pPr>
    </w:p>
    <w:sectPr w:rsidR="00921AB5" w:rsidRPr="00684D19" w:rsidSect="00BD2FB3">
      <w:headerReference w:type="default" r:id="rId8"/>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6B42AF" w14:textId="77777777" w:rsidR="00796B25" w:rsidRDefault="00796B25" w:rsidP="0029139A">
      <w:pPr>
        <w:spacing w:after="0" w:line="240" w:lineRule="auto"/>
      </w:pPr>
      <w:r>
        <w:separator/>
      </w:r>
    </w:p>
  </w:endnote>
  <w:endnote w:type="continuationSeparator" w:id="0">
    <w:p w14:paraId="2436747B" w14:textId="77777777" w:rsidR="00796B25" w:rsidRDefault="00796B25" w:rsidP="002913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宋体">
    <w:charset w:val="00"/>
    <w:family w:val="auto"/>
    <w:pitch w:val="variable"/>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5BBDFA" w14:textId="77777777" w:rsidR="00796B25" w:rsidRDefault="00796B25" w:rsidP="0029139A">
      <w:pPr>
        <w:spacing w:after="0" w:line="240" w:lineRule="auto"/>
      </w:pPr>
      <w:r>
        <w:separator/>
      </w:r>
    </w:p>
  </w:footnote>
  <w:footnote w:type="continuationSeparator" w:id="0">
    <w:p w14:paraId="6F4003B5" w14:textId="77777777" w:rsidR="00796B25" w:rsidRDefault="00796B25" w:rsidP="002913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B025FE" w14:textId="77777777" w:rsidR="00436DE0" w:rsidRDefault="00436DE0">
    <w:pPr>
      <w:pStyle w:val="Cabealho"/>
    </w:pPr>
    <w:r>
      <w:rPr>
        <w:noProof/>
        <w:lang w:eastAsia="pt-BR"/>
      </w:rPr>
      <w:drawing>
        <wp:inline distT="0" distB="0" distL="0" distR="0" wp14:anchorId="7345612C" wp14:editId="47ADD423">
          <wp:extent cx="5669915" cy="720090"/>
          <wp:effectExtent l="0" t="0" r="6985" b="3810"/>
          <wp:docPr id="9" name="Imagem 9"/>
          <wp:cNvGraphicFramePr/>
          <a:graphic xmlns:a="http://schemas.openxmlformats.org/drawingml/2006/main">
            <a:graphicData uri="http://schemas.openxmlformats.org/drawingml/2006/picture">
              <pic:pic xmlns:pic="http://schemas.openxmlformats.org/drawingml/2006/picture">
                <pic:nvPicPr>
                  <pic:cNvPr id="9" name="Imagem 9"/>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69915" cy="720090"/>
                  </a:xfrm>
                  <a:prstGeom prst="rect">
                    <a:avLst/>
                  </a:prstGeom>
                  <a:noFill/>
                  <a:ln>
                    <a:noFill/>
                  </a:ln>
                </pic:spPr>
              </pic:pic>
            </a:graphicData>
          </a:graphic>
        </wp:inline>
      </w:drawing>
    </w:r>
  </w:p>
  <w:p w14:paraId="41C9EC97" w14:textId="77777777" w:rsidR="00436DE0" w:rsidRDefault="00436DE0">
    <w:pPr>
      <w:pStyle w:val="Cabealho"/>
    </w:pPr>
  </w:p>
  <w:p w14:paraId="7A8633EB" w14:textId="77777777" w:rsidR="00436DE0" w:rsidRDefault="00436DE0">
    <w:pPr>
      <w:pStyle w:val="Cabealho"/>
    </w:pPr>
  </w:p>
  <w:p w14:paraId="6EF63F67" w14:textId="4F2F4F3F" w:rsidR="007950FA" w:rsidRDefault="007950FA">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4787F"/>
    <w:multiLevelType w:val="multilevel"/>
    <w:tmpl w:val="3122701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9A68D9"/>
    <w:multiLevelType w:val="multilevel"/>
    <w:tmpl w:val="147C5AD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77663BA"/>
    <w:multiLevelType w:val="multilevel"/>
    <w:tmpl w:val="E246427C"/>
    <w:lvl w:ilvl="0">
      <w:start w:val="1"/>
      <w:numFmt w:val="decimal"/>
      <w:lvlText w:val="%1"/>
      <w:lvlJc w:val="left"/>
      <w:pPr>
        <w:ind w:left="360" w:hanging="360"/>
      </w:pPr>
      <w:rPr>
        <w:rFonts w:hint="default"/>
      </w:rPr>
    </w:lvl>
    <w:lvl w:ilvl="1">
      <w:start w:val="1"/>
      <w:numFmt w:val="decimal"/>
      <w:lvlText w:val="%1.%2"/>
      <w:lvlJc w:val="left"/>
      <w:pPr>
        <w:ind w:left="1494" w:hanging="360"/>
      </w:pPr>
      <w:rPr>
        <w:rFonts w:hint="default"/>
        <w:sz w:val="20"/>
        <w:szCs w:val="20"/>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3">
    <w:nsid w:val="07A201C1"/>
    <w:multiLevelType w:val="hybridMultilevel"/>
    <w:tmpl w:val="7AC67264"/>
    <w:lvl w:ilvl="0" w:tplc="F4668BD0">
      <w:start w:val="1"/>
      <w:numFmt w:val="decimal"/>
      <w:lvlText w:val="%1"/>
      <w:lvlJc w:val="left"/>
      <w:pPr>
        <w:ind w:left="1353" w:hanging="360"/>
      </w:pPr>
      <w:rPr>
        <w:rFonts w:hint="default"/>
        <w:b w:val="0"/>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4">
    <w:nsid w:val="081D671C"/>
    <w:multiLevelType w:val="hybridMultilevel"/>
    <w:tmpl w:val="9A843A22"/>
    <w:lvl w:ilvl="0" w:tplc="834EB276">
      <w:start w:val="1"/>
      <w:numFmt w:val="lowerLetter"/>
      <w:lvlText w:val="%1)"/>
      <w:lvlJc w:val="left"/>
      <w:pPr>
        <w:ind w:left="1429" w:hanging="360"/>
      </w:pPr>
      <w:rPr>
        <w:rFonts w:hint="default"/>
        <w:b w:val="0"/>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5">
    <w:nsid w:val="0E076329"/>
    <w:multiLevelType w:val="multilevel"/>
    <w:tmpl w:val="2D4AD8B6"/>
    <w:lvl w:ilvl="0">
      <w:start w:val="1"/>
      <w:numFmt w:val="upperRoman"/>
      <w:lvlText w:val="%1."/>
      <w:lvlJc w:val="left"/>
      <w:pPr>
        <w:ind w:left="1571" w:hanging="720"/>
      </w:pPr>
      <w:rPr>
        <w:rFonts w:hint="default"/>
        <w:i/>
      </w:rPr>
    </w:lvl>
    <w:lvl w:ilvl="1">
      <w:start w:val="2"/>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22E2155"/>
    <w:multiLevelType w:val="hybridMultilevel"/>
    <w:tmpl w:val="78F24AC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2B4494B"/>
    <w:multiLevelType w:val="hybridMultilevel"/>
    <w:tmpl w:val="817A8EA4"/>
    <w:lvl w:ilvl="0" w:tplc="5DBA3BE8">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8">
    <w:nsid w:val="17CD46DE"/>
    <w:multiLevelType w:val="multilevel"/>
    <w:tmpl w:val="052CD53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A7871D1"/>
    <w:multiLevelType w:val="multilevel"/>
    <w:tmpl w:val="7780E006"/>
    <w:lvl w:ilvl="0">
      <w:start w:val="1"/>
      <w:numFmt w:val="decimal"/>
      <w:pStyle w:val="Nivel1"/>
      <w:lvlText w:val="%1."/>
      <w:lvlJc w:val="left"/>
      <w:pPr>
        <w:ind w:left="360" w:hanging="360"/>
      </w:pPr>
      <w:rPr>
        <w:rFonts w:cs="Times New Roman"/>
        <w:b/>
        <w:color w:val="000000"/>
      </w:rPr>
    </w:lvl>
    <w:lvl w:ilvl="1">
      <w:start w:val="1"/>
      <w:numFmt w:val="decimal"/>
      <w:lvlText w:val="%1.%2."/>
      <w:lvlJc w:val="left"/>
      <w:pPr>
        <w:ind w:left="716" w:hanging="432"/>
      </w:pPr>
      <w:rPr>
        <w:rFonts w:cs="Times New Roman"/>
        <w:b w:val="0"/>
        <w:i w:val="0"/>
        <w:strike w:val="0"/>
        <w:dstrike w:val="0"/>
        <w:color w:val="000000"/>
        <w:u w:val="none"/>
        <w:effect w:val="none"/>
      </w:rPr>
    </w:lvl>
    <w:lvl w:ilvl="2">
      <w:start w:val="1"/>
      <w:numFmt w:val="decimal"/>
      <w:lvlText w:val="%1.%2.%3."/>
      <w:lvlJc w:val="left"/>
      <w:pPr>
        <w:ind w:left="930" w:hanging="504"/>
      </w:pPr>
      <w:rPr>
        <w:rFonts w:cs="Times New Roman"/>
        <w:b w:val="0"/>
        <w:i w:val="0"/>
        <w:color w:val="000000"/>
      </w:rPr>
    </w:lvl>
    <w:lvl w:ilvl="3">
      <w:start w:val="1"/>
      <w:numFmt w:val="decimal"/>
      <w:lvlText w:val="%1.%2.%3.%4."/>
      <w:lvlJc w:val="left"/>
      <w:pPr>
        <w:ind w:left="2491"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4"/>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nsid w:val="578B2BF8"/>
    <w:multiLevelType w:val="hybridMultilevel"/>
    <w:tmpl w:val="A4B8CDF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57D13390"/>
    <w:multiLevelType w:val="multilevel"/>
    <w:tmpl w:val="C7E417D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4055138"/>
    <w:multiLevelType w:val="hybridMultilevel"/>
    <w:tmpl w:val="48EAB70A"/>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70A2400D"/>
    <w:multiLevelType w:val="hybridMultilevel"/>
    <w:tmpl w:val="CA4C39BA"/>
    <w:lvl w:ilvl="0" w:tplc="F63C27F2">
      <w:start w:val="1"/>
      <w:numFmt w:val="lowerLetter"/>
      <w:lvlText w:val="%1)"/>
      <w:lvlJc w:val="left"/>
      <w:pPr>
        <w:ind w:left="502" w:hanging="360"/>
      </w:pPr>
      <w:rPr>
        <w:rFonts w:hint="default"/>
        <w:b w:val="0"/>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14">
    <w:nsid w:val="7D296549"/>
    <w:multiLevelType w:val="hybridMultilevel"/>
    <w:tmpl w:val="4B66E4C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0"/>
  </w:num>
  <w:num w:numId="4">
    <w:abstractNumId w:val="6"/>
  </w:num>
  <w:num w:numId="5">
    <w:abstractNumId w:val="13"/>
  </w:num>
  <w:num w:numId="6">
    <w:abstractNumId w:val="5"/>
  </w:num>
  <w:num w:numId="7">
    <w:abstractNumId w:val="1"/>
  </w:num>
  <w:num w:numId="8">
    <w:abstractNumId w:val="11"/>
  </w:num>
  <w:num w:numId="9">
    <w:abstractNumId w:val="14"/>
  </w:num>
  <w:num w:numId="10">
    <w:abstractNumId w:val="12"/>
  </w:num>
  <w:num w:numId="11">
    <w:abstractNumId w:val="8"/>
  </w:num>
  <w:num w:numId="12">
    <w:abstractNumId w:val="0"/>
  </w:num>
  <w:num w:numId="13">
    <w:abstractNumId w:val="3"/>
  </w:num>
  <w:num w:numId="14">
    <w:abstractNumId w:val="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9F7"/>
    <w:rsid w:val="000001A0"/>
    <w:rsid w:val="00000773"/>
    <w:rsid w:val="00003CE3"/>
    <w:rsid w:val="00004F3D"/>
    <w:rsid w:val="00006E1D"/>
    <w:rsid w:val="000127A5"/>
    <w:rsid w:val="0001471B"/>
    <w:rsid w:val="00017523"/>
    <w:rsid w:val="00020319"/>
    <w:rsid w:val="00022B75"/>
    <w:rsid w:val="00044C07"/>
    <w:rsid w:val="000523BC"/>
    <w:rsid w:val="00055A62"/>
    <w:rsid w:val="00063761"/>
    <w:rsid w:val="000720FA"/>
    <w:rsid w:val="00075F4E"/>
    <w:rsid w:val="000865AB"/>
    <w:rsid w:val="000A0BF6"/>
    <w:rsid w:val="000A0FA0"/>
    <w:rsid w:val="000A181B"/>
    <w:rsid w:val="000A4DBD"/>
    <w:rsid w:val="000A593E"/>
    <w:rsid w:val="000C1DCD"/>
    <w:rsid w:val="000D0C7D"/>
    <w:rsid w:val="000D4671"/>
    <w:rsid w:val="000D4D32"/>
    <w:rsid w:val="000D63B6"/>
    <w:rsid w:val="000E20B6"/>
    <w:rsid w:val="001015A2"/>
    <w:rsid w:val="001045B1"/>
    <w:rsid w:val="001046EE"/>
    <w:rsid w:val="00105EB6"/>
    <w:rsid w:val="001107E9"/>
    <w:rsid w:val="001246E6"/>
    <w:rsid w:val="001305E7"/>
    <w:rsid w:val="00144E4C"/>
    <w:rsid w:val="00155A1A"/>
    <w:rsid w:val="001778CA"/>
    <w:rsid w:val="00185756"/>
    <w:rsid w:val="00191B61"/>
    <w:rsid w:val="001920EA"/>
    <w:rsid w:val="00194674"/>
    <w:rsid w:val="0019757B"/>
    <w:rsid w:val="001A276C"/>
    <w:rsid w:val="001A4540"/>
    <w:rsid w:val="001A7298"/>
    <w:rsid w:val="001A7C83"/>
    <w:rsid w:val="001B12DC"/>
    <w:rsid w:val="001B6CEA"/>
    <w:rsid w:val="001D6FD8"/>
    <w:rsid w:val="001D7677"/>
    <w:rsid w:val="001E35F9"/>
    <w:rsid w:val="001E4D15"/>
    <w:rsid w:val="001E5158"/>
    <w:rsid w:val="001E6FFF"/>
    <w:rsid w:val="001F06A3"/>
    <w:rsid w:val="001F3254"/>
    <w:rsid w:val="002027D5"/>
    <w:rsid w:val="0020418B"/>
    <w:rsid w:val="002066D3"/>
    <w:rsid w:val="00207E7C"/>
    <w:rsid w:val="00212464"/>
    <w:rsid w:val="002208AF"/>
    <w:rsid w:val="00236098"/>
    <w:rsid w:val="00237017"/>
    <w:rsid w:val="00240061"/>
    <w:rsid w:val="0025077A"/>
    <w:rsid w:val="002534B1"/>
    <w:rsid w:val="00265682"/>
    <w:rsid w:val="00271F2F"/>
    <w:rsid w:val="00277964"/>
    <w:rsid w:val="0029107A"/>
    <w:rsid w:val="0029139A"/>
    <w:rsid w:val="00293945"/>
    <w:rsid w:val="0029585D"/>
    <w:rsid w:val="0029600E"/>
    <w:rsid w:val="002A3805"/>
    <w:rsid w:val="002A5D25"/>
    <w:rsid w:val="002A72AB"/>
    <w:rsid w:val="002A7622"/>
    <w:rsid w:val="002D0198"/>
    <w:rsid w:val="002D2386"/>
    <w:rsid w:val="002D24D5"/>
    <w:rsid w:val="002D415D"/>
    <w:rsid w:val="002D4BCB"/>
    <w:rsid w:val="002D7166"/>
    <w:rsid w:val="002D77EC"/>
    <w:rsid w:val="002E4B01"/>
    <w:rsid w:val="002E4B44"/>
    <w:rsid w:val="002E62B6"/>
    <w:rsid w:val="00304674"/>
    <w:rsid w:val="003170E1"/>
    <w:rsid w:val="00321F02"/>
    <w:rsid w:val="00333164"/>
    <w:rsid w:val="0033390F"/>
    <w:rsid w:val="00337AC0"/>
    <w:rsid w:val="00337C4C"/>
    <w:rsid w:val="00344FD3"/>
    <w:rsid w:val="003451F6"/>
    <w:rsid w:val="003462E0"/>
    <w:rsid w:val="00347D02"/>
    <w:rsid w:val="00355AD3"/>
    <w:rsid w:val="003602AE"/>
    <w:rsid w:val="00360514"/>
    <w:rsid w:val="0036259A"/>
    <w:rsid w:val="00365D59"/>
    <w:rsid w:val="00370D9B"/>
    <w:rsid w:val="00372453"/>
    <w:rsid w:val="00372D1A"/>
    <w:rsid w:val="0037395F"/>
    <w:rsid w:val="00376721"/>
    <w:rsid w:val="00376AC7"/>
    <w:rsid w:val="003932A0"/>
    <w:rsid w:val="003A101C"/>
    <w:rsid w:val="003A3930"/>
    <w:rsid w:val="003A44D3"/>
    <w:rsid w:val="003A4A58"/>
    <w:rsid w:val="003A5B74"/>
    <w:rsid w:val="003B0094"/>
    <w:rsid w:val="003B68C9"/>
    <w:rsid w:val="003B7B90"/>
    <w:rsid w:val="003C0C1B"/>
    <w:rsid w:val="003C0C9E"/>
    <w:rsid w:val="003C21D6"/>
    <w:rsid w:val="003C4E80"/>
    <w:rsid w:val="003C771D"/>
    <w:rsid w:val="003D0B69"/>
    <w:rsid w:val="003E3F07"/>
    <w:rsid w:val="003F3511"/>
    <w:rsid w:val="003F3F30"/>
    <w:rsid w:val="00436DE0"/>
    <w:rsid w:val="0043711E"/>
    <w:rsid w:val="00454663"/>
    <w:rsid w:val="0046046E"/>
    <w:rsid w:val="00466BB1"/>
    <w:rsid w:val="00473E25"/>
    <w:rsid w:val="00474EE4"/>
    <w:rsid w:val="00475267"/>
    <w:rsid w:val="004871FA"/>
    <w:rsid w:val="00493F9F"/>
    <w:rsid w:val="00495316"/>
    <w:rsid w:val="004A7227"/>
    <w:rsid w:val="004A7308"/>
    <w:rsid w:val="004B187A"/>
    <w:rsid w:val="004B7AD4"/>
    <w:rsid w:val="004C0550"/>
    <w:rsid w:val="004D285C"/>
    <w:rsid w:val="004D3CB4"/>
    <w:rsid w:val="00502ACC"/>
    <w:rsid w:val="0050393F"/>
    <w:rsid w:val="005051FC"/>
    <w:rsid w:val="0050618D"/>
    <w:rsid w:val="00510E35"/>
    <w:rsid w:val="00517758"/>
    <w:rsid w:val="00523CBF"/>
    <w:rsid w:val="00525B58"/>
    <w:rsid w:val="0053006F"/>
    <w:rsid w:val="00540F61"/>
    <w:rsid w:val="00542D00"/>
    <w:rsid w:val="0054538C"/>
    <w:rsid w:val="005531D6"/>
    <w:rsid w:val="00554076"/>
    <w:rsid w:val="0055698B"/>
    <w:rsid w:val="00564F78"/>
    <w:rsid w:val="00566CDD"/>
    <w:rsid w:val="00574319"/>
    <w:rsid w:val="00577423"/>
    <w:rsid w:val="00582A19"/>
    <w:rsid w:val="00593C15"/>
    <w:rsid w:val="005A3045"/>
    <w:rsid w:val="005A5526"/>
    <w:rsid w:val="005B41F1"/>
    <w:rsid w:val="005B438D"/>
    <w:rsid w:val="005C2185"/>
    <w:rsid w:val="005C3C95"/>
    <w:rsid w:val="005D1EB2"/>
    <w:rsid w:val="005D264B"/>
    <w:rsid w:val="005D52E8"/>
    <w:rsid w:val="005E1435"/>
    <w:rsid w:val="005F0C75"/>
    <w:rsid w:val="005F16FB"/>
    <w:rsid w:val="005F31FF"/>
    <w:rsid w:val="005F3AD7"/>
    <w:rsid w:val="005F3B02"/>
    <w:rsid w:val="005F42F6"/>
    <w:rsid w:val="005F54AA"/>
    <w:rsid w:val="005F6B0D"/>
    <w:rsid w:val="005F6E23"/>
    <w:rsid w:val="006017F8"/>
    <w:rsid w:val="006076DD"/>
    <w:rsid w:val="00607D19"/>
    <w:rsid w:val="00616397"/>
    <w:rsid w:val="006233A7"/>
    <w:rsid w:val="0062490C"/>
    <w:rsid w:val="00627493"/>
    <w:rsid w:val="006303FE"/>
    <w:rsid w:val="006312D7"/>
    <w:rsid w:val="006371F9"/>
    <w:rsid w:val="006441DD"/>
    <w:rsid w:val="00644B80"/>
    <w:rsid w:val="00652A3C"/>
    <w:rsid w:val="0065461B"/>
    <w:rsid w:val="00661AF6"/>
    <w:rsid w:val="00663B4F"/>
    <w:rsid w:val="00664BB7"/>
    <w:rsid w:val="00684D19"/>
    <w:rsid w:val="00687615"/>
    <w:rsid w:val="00690432"/>
    <w:rsid w:val="006949E3"/>
    <w:rsid w:val="006A1417"/>
    <w:rsid w:val="006A150B"/>
    <w:rsid w:val="006A3306"/>
    <w:rsid w:val="006D14FE"/>
    <w:rsid w:val="006E577F"/>
    <w:rsid w:val="006F4957"/>
    <w:rsid w:val="00713FCE"/>
    <w:rsid w:val="0072169F"/>
    <w:rsid w:val="00727A5E"/>
    <w:rsid w:val="00731E0A"/>
    <w:rsid w:val="007441E5"/>
    <w:rsid w:val="00746484"/>
    <w:rsid w:val="00750EB7"/>
    <w:rsid w:val="00756197"/>
    <w:rsid w:val="0075662B"/>
    <w:rsid w:val="007609E5"/>
    <w:rsid w:val="00764AA7"/>
    <w:rsid w:val="00765353"/>
    <w:rsid w:val="00774DF3"/>
    <w:rsid w:val="00775F2E"/>
    <w:rsid w:val="00780577"/>
    <w:rsid w:val="00782EF1"/>
    <w:rsid w:val="00785CBA"/>
    <w:rsid w:val="0078669C"/>
    <w:rsid w:val="007921A7"/>
    <w:rsid w:val="007950FA"/>
    <w:rsid w:val="00796B25"/>
    <w:rsid w:val="007A525A"/>
    <w:rsid w:val="007B4513"/>
    <w:rsid w:val="007B6349"/>
    <w:rsid w:val="007D303A"/>
    <w:rsid w:val="007D7352"/>
    <w:rsid w:val="007E219C"/>
    <w:rsid w:val="00803C07"/>
    <w:rsid w:val="00804A1D"/>
    <w:rsid w:val="008058B1"/>
    <w:rsid w:val="00816D6A"/>
    <w:rsid w:val="0082373D"/>
    <w:rsid w:val="008413AC"/>
    <w:rsid w:val="00847DF8"/>
    <w:rsid w:val="00850C3A"/>
    <w:rsid w:val="008522F6"/>
    <w:rsid w:val="00854F87"/>
    <w:rsid w:val="008602ED"/>
    <w:rsid w:val="00870CE3"/>
    <w:rsid w:val="008762DD"/>
    <w:rsid w:val="00877396"/>
    <w:rsid w:val="00880695"/>
    <w:rsid w:val="008862FB"/>
    <w:rsid w:val="00890161"/>
    <w:rsid w:val="00897E47"/>
    <w:rsid w:val="008A665E"/>
    <w:rsid w:val="008B4F36"/>
    <w:rsid w:val="008B5D2E"/>
    <w:rsid w:val="008C1669"/>
    <w:rsid w:val="008C3E5B"/>
    <w:rsid w:val="008D3F1A"/>
    <w:rsid w:val="008D484D"/>
    <w:rsid w:val="008E2A8E"/>
    <w:rsid w:val="008F6502"/>
    <w:rsid w:val="008F6EDA"/>
    <w:rsid w:val="009040FF"/>
    <w:rsid w:val="009137E1"/>
    <w:rsid w:val="00913F71"/>
    <w:rsid w:val="009159BC"/>
    <w:rsid w:val="00917F12"/>
    <w:rsid w:val="00921AB5"/>
    <w:rsid w:val="00922D54"/>
    <w:rsid w:val="009250C2"/>
    <w:rsid w:val="00930F20"/>
    <w:rsid w:val="009350D3"/>
    <w:rsid w:val="00941F58"/>
    <w:rsid w:val="0094519E"/>
    <w:rsid w:val="00946016"/>
    <w:rsid w:val="00950DFB"/>
    <w:rsid w:val="0095415A"/>
    <w:rsid w:val="009578B9"/>
    <w:rsid w:val="009603A4"/>
    <w:rsid w:val="00962571"/>
    <w:rsid w:val="00965A9D"/>
    <w:rsid w:val="0096708A"/>
    <w:rsid w:val="009701CB"/>
    <w:rsid w:val="009706C6"/>
    <w:rsid w:val="0097138A"/>
    <w:rsid w:val="0097354F"/>
    <w:rsid w:val="00984683"/>
    <w:rsid w:val="00991E1B"/>
    <w:rsid w:val="009A0139"/>
    <w:rsid w:val="009A5650"/>
    <w:rsid w:val="009C05D3"/>
    <w:rsid w:val="009C32F5"/>
    <w:rsid w:val="009C4D23"/>
    <w:rsid w:val="009C5028"/>
    <w:rsid w:val="009C7B12"/>
    <w:rsid w:val="009D4784"/>
    <w:rsid w:val="009D505C"/>
    <w:rsid w:val="009D782E"/>
    <w:rsid w:val="009E232C"/>
    <w:rsid w:val="009E313D"/>
    <w:rsid w:val="009E34D9"/>
    <w:rsid w:val="009E5E57"/>
    <w:rsid w:val="009F35B8"/>
    <w:rsid w:val="009F411F"/>
    <w:rsid w:val="00A02B52"/>
    <w:rsid w:val="00A15EA7"/>
    <w:rsid w:val="00A210C2"/>
    <w:rsid w:val="00A2220D"/>
    <w:rsid w:val="00A22233"/>
    <w:rsid w:val="00A222AC"/>
    <w:rsid w:val="00A30404"/>
    <w:rsid w:val="00A30DF4"/>
    <w:rsid w:val="00A365AE"/>
    <w:rsid w:val="00A44816"/>
    <w:rsid w:val="00A461C2"/>
    <w:rsid w:val="00A5740E"/>
    <w:rsid w:val="00A71D44"/>
    <w:rsid w:val="00A75C42"/>
    <w:rsid w:val="00A92E66"/>
    <w:rsid w:val="00A936AE"/>
    <w:rsid w:val="00AA0DFC"/>
    <w:rsid w:val="00AA2FD8"/>
    <w:rsid w:val="00AB13FF"/>
    <w:rsid w:val="00AB150E"/>
    <w:rsid w:val="00AB3088"/>
    <w:rsid w:val="00AB40A1"/>
    <w:rsid w:val="00AB4B8E"/>
    <w:rsid w:val="00AB6EDB"/>
    <w:rsid w:val="00AB7C34"/>
    <w:rsid w:val="00AC3026"/>
    <w:rsid w:val="00AF14C0"/>
    <w:rsid w:val="00AF4C59"/>
    <w:rsid w:val="00B006FA"/>
    <w:rsid w:val="00B07525"/>
    <w:rsid w:val="00B12616"/>
    <w:rsid w:val="00B12C43"/>
    <w:rsid w:val="00B16267"/>
    <w:rsid w:val="00B227EB"/>
    <w:rsid w:val="00B30BCC"/>
    <w:rsid w:val="00B30C12"/>
    <w:rsid w:val="00B310D3"/>
    <w:rsid w:val="00B366F1"/>
    <w:rsid w:val="00B37216"/>
    <w:rsid w:val="00B424DD"/>
    <w:rsid w:val="00B42B1E"/>
    <w:rsid w:val="00B4684E"/>
    <w:rsid w:val="00B555BC"/>
    <w:rsid w:val="00B56176"/>
    <w:rsid w:val="00B61E55"/>
    <w:rsid w:val="00B62384"/>
    <w:rsid w:val="00B70355"/>
    <w:rsid w:val="00B7484B"/>
    <w:rsid w:val="00B75FB3"/>
    <w:rsid w:val="00B864FF"/>
    <w:rsid w:val="00B930A3"/>
    <w:rsid w:val="00B97BAF"/>
    <w:rsid w:val="00BA0284"/>
    <w:rsid w:val="00BA0C1E"/>
    <w:rsid w:val="00BA4A36"/>
    <w:rsid w:val="00BA7AC2"/>
    <w:rsid w:val="00BB106A"/>
    <w:rsid w:val="00BC32EE"/>
    <w:rsid w:val="00BC33D9"/>
    <w:rsid w:val="00BC51E4"/>
    <w:rsid w:val="00BC7859"/>
    <w:rsid w:val="00BC7D2C"/>
    <w:rsid w:val="00BD15DE"/>
    <w:rsid w:val="00BD19DD"/>
    <w:rsid w:val="00BD2FB3"/>
    <w:rsid w:val="00BD3DDF"/>
    <w:rsid w:val="00BE6C4E"/>
    <w:rsid w:val="00BF7B31"/>
    <w:rsid w:val="00C005AA"/>
    <w:rsid w:val="00C01CD4"/>
    <w:rsid w:val="00C06E9C"/>
    <w:rsid w:val="00C133FA"/>
    <w:rsid w:val="00C15B87"/>
    <w:rsid w:val="00C2138A"/>
    <w:rsid w:val="00C44B58"/>
    <w:rsid w:val="00C45A16"/>
    <w:rsid w:val="00C56F80"/>
    <w:rsid w:val="00C57F0C"/>
    <w:rsid w:val="00C60099"/>
    <w:rsid w:val="00C64514"/>
    <w:rsid w:val="00C70255"/>
    <w:rsid w:val="00C77325"/>
    <w:rsid w:val="00C80E80"/>
    <w:rsid w:val="00C85D55"/>
    <w:rsid w:val="00C87F83"/>
    <w:rsid w:val="00C93D5C"/>
    <w:rsid w:val="00C97987"/>
    <w:rsid w:val="00CA1687"/>
    <w:rsid w:val="00CA3E23"/>
    <w:rsid w:val="00CA5AF7"/>
    <w:rsid w:val="00CB4D9E"/>
    <w:rsid w:val="00CB4E02"/>
    <w:rsid w:val="00CB541B"/>
    <w:rsid w:val="00CB6C6F"/>
    <w:rsid w:val="00CC38C2"/>
    <w:rsid w:val="00CC5BC4"/>
    <w:rsid w:val="00CC6603"/>
    <w:rsid w:val="00CD4012"/>
    <w:rsid w:val="00CD7B70"/>
    <w:rsid w:val="00CE1DF4"/>
    <w:rsid w:val="00CE4FEB"/>
    <w:rsid w:val="00CE6173"/>
    <w:rsid w:val="00D13711"/>
    <w:rsid w:val="00D1584B"/>
    <w:rsid w:val="00D20910"/>
    <w:rsid w:val="00D211BD"/>
    <w:rsid w:val="00D247D7"/>
    <w:rsid w:val="00D31E47"/>
    <w:rsid w:val="00D35C1A"/>
    <w:rsid w:val="00D4180C"/>
    <w:rsid w:val="00D4651C"/>
    <w:rsid w:val="00D4762C"/>
    <w:rsid w:val="00D51159"/>
    <w:rsid w:val="00D51E3D"/>
    <w:rsid w:val="00D53F9D"/>
    <w:rsid w:val="00D54BC9"/>
    <w:rsid w:val="00D55E96"/>
    <w:rsid w:val="00D560CC"/>
    <w:rsid w:val="00D56CCD"/>
    <w:rsid w:val="00D60D44"/>
    <w:rsid w:val="00D61739"/>
    <w:rsid w:val="00D71475"/>
    <w:rsid w:val="00D84210"/>
    <w:rsid w:val="00D944CF"/>
    <w:rsid w:val="00DC1D24"/>
    <w:rsid w:val="00DC725F"/>
    <w:rsid w:val="00DD36A7"/>
    <w:rsid w:val="00DD7832"/>
    <w:rsid w:val="00E04700"/>
    <w:rsid w:val="00E05691"/>
    <w:rsid w:val="00E13AA5"/>
    <w:rsid w:val="00E163B1"/>
    <w:rsid w:val="00E24980"/>
    <w:rsid w:val="00E24CB3"/>
    <w:rsid w:val="00E309F7"/>
    <w:rsid w:val="00E318D1"/>
    <w:rsid w:val="00E36E40"/>
    <w:rsid w:val="00E53428"/>
    <w:rsid w:val="00E53D82"/>
    <w:rsid w:val="00E905BC"/>
    <w:rsid w:val="00E956E9"/>
    <w:rsid w:val="00EA53CF"/>
    <w:rsid w:val="00EA667F"/>
    <w:rsid w:val="00EB1F2D"/>
    <w:rsid w:val="00EB28E9"/>
    <w:rsid w:val="00EB53CB"/>
    <w:rsid w:val="00EC3133"/>
    <w:rsid w:val="00EC582E"/>
    <w:rsid w:val="00EC75F4"/>
    <w:rsid w:val="00ED4959"/>
    <w:rsid w:val="00EE1422"/>
    <w:rsid w:val="00EF2EE5"/>
    <w:rsid w:val="00EF5F60"/>
    <w:rsid w:val="00F011C8"/>
    <w:rsid w:val="00F100AE"/>
    <w:rsid w:val="00F11AE4"/>
    <w:rsid w:val="00F146B2"/>
    <w:rsid w:val="00F170FB"/>
    <w:rsid w:val="00F2366B"/>
    <w:rsid w:val="00F23F4A"/>
    <w:rsid w:val="00F248DA"/>
    <w:rsid w:val="00F325AA"/>
    <w:rsid w:val="00F34F4F"/>
    <w:rsid w:val="00F41909"/>
    <w:rsid w:val="00F57C7D"/>
    <w:rsid w:val="00F66623"/>
    <w:rsid w:val="00F74657"/>
    <w:rsid w:val="00F805CB"/>
    <w:rsid w:val="00F81C7A"/>
    <w:rsid w:val="00F846B9"/>
    <w:rsid w:val="00F90829"/>
    <w:rsid w:val="00F934AB"/>
    <w:rsid w:val="00FA10C0"/>
    <w:rsid w:val="00FA5D0A"/>
    <w:rsid w:val="00FB494A"/>
    <w:rsid w:val="00FB7946"/>
    <w:rsid w:val="00FE3007"/>
    <w:rsid w:val="00FE3081"/>
    <w:rsid w:val="00FE3E78"/>
    <w:rsid w:val="00FE48B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87D422"/>
  <w15:chartTrackingRefBased/>
  <w15:docId w15:val="{46E47DE8-0C80-45A2-BE0A-B7F5A5419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uiPriority w:val="9"/>
    <w:qFormat/>
    <w:rsid w:val="00F81C7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105EB6"/>
    <w:rPr>
      <w:rFonts w:ascii="Times New Roman" w:hAnsi="Times New Roman" w:cs="Times New Roman" w:hint="default"/>
      <w:color w:val="0000FF"/>
      <w:u w:val="single"/>
    </w:rPr>
  </w:style>
  <w:style w:type="paragraph" w:customStyle="1" w:styleId="Nivel1">
    <w:name w:val="Nivel1"/>
    <w:basedOn w:val="Ttulo1"/>
    <w:next w:val="Normal"/>
    <w:qFormat/>
    <w:rsid w:val="00F81C7A"/>
    <w:pPr>
      <w:numPr>
        <w:numId w:val="1"/>
      </w:numPr>
      <w:tabs>
        <w:tab w:val="num" w:pos="360"/>
      </w:tabs>
      <w:spacing w:before="480" w:after="120" w:line="276" w:lineRule="auto"/>
      <w:ind w:left="720" w:firstLine="0"/>
      <w:jc w:val="both"/>
    </w:pPr>
    <w:rPr>
      <w:rFonts w:ascii="Arial" w:hAnsi="Arial" w:cs="Arial"/>
      <w:b/>
      <w:color w:val="000000"/>
      <w:sz w:val="20"/>
      <w:szCs w:val="20"/>
      <w:lang w:eastAsia="pt-BR"/>
    </w:rPr>
  </w:style>
  <w:style w:type="character" w:customStyle="1" w:styleId="Ttulo1Char">
    <w:name w:val="Título 1 Char"/>
    <w:basedOn w:val="Fontepargpadro"/>
    <w:link w:val="Ttulo1"/>
    <w:uiPriority w:val="9"/>
    <w:rsid w:val="00F81C7A"/>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rsid w:val="006A1417"/>
    <w:pPr>
      <w:suppressAutoHyphens/>
      <w:spacing w:before="280" w:after="280" w:line="240" w:lineRule="auto"/>
    </w:pPr>
    <w:rPr>
      <w:rFonts w:ascii="Times New Roman" w:eastAsia="Times New Roman" w:hAnsi="Times New Roman" w:cs="Times New Roman"/>
      <w:sz w:val="24"/>
      <w:szCs w:val="24"/>
      <w:lang w:eastAsia="ar-SA"/>
    </w:rPr>
  </w:style>
  <w:style w:type="paragraph" w:styleId="PargrafodaLista">
    <w:name w:val="List Paragraph"/>
    <w:basedOn w:val="Normal"/>
    <w:uiPriority w:val="34"/>
    <w:qFormat/>
    <w:rsid w:val="006A1417"/>
    <w:pPr>
      <w:suppressAutoHyphens/>
      <w:spacing w:after="0" w:line="276" w:lineRule="auto"/>
      <w:ind w:left="720"/>
      <w:contextualSpacing/>
      <w:jc w:val="both"/>
    </w:pPr>
    <w:rPr>
      <w:rFonts w:ascii="Calibri" w:eastAsia="Calibri" w:hAnsi="Calibri" w:cs="Times New Roman"/>
      <w:b/>
      <w:bCs/>
      <w:lang w:eastAsia="ar-SA"/>
    </w:rPr>
  </w:style>
  <w:style w:type="paragraph" w:customStyle="1" w:styleId="Default">
    <w:name w:val="Default"/>
    <w:rsid w:val="006A1417"/>
    <w:pPr>
      <w:autoSpaceDE w:val="0"/>
      <w:autoSpaceDN w:val="0"/>
      <w:adjustRightInd w:val="0"/>
      <w:spacing w:after="0" w:line="240" w:lineRule="auto"/>
    </w:pPr>
    <w:rPr>
      <w:rFonts w:ascii="Calibri" w:hAnsi="Calibri" w:cs="Calibri"/>
      <w:color w:val="000000"/>
      <w:sz w:val="24"/>
      <w:szCs w:val="24"/>
    </w:rPr>
  </w:style>
  <w:style w:type="paragraph" w:customStyle="1" w:styleId="Standard">
    <w:name w:val="Standard"/>
    <w:rsid w:val="006A1417"/>
    <w:pPr>
      <w:widowControl w:val="0"/>
      <w:suppressAutoHyphens/>
      <w:autoSpaceDN w:val="0"/>
      <w:spacing w:after="0" w:line="240" w:lineRule="auto"/>
      <w:textAlignment w:val="baseline"/>
    </w:pPr>
    <w:rPr>
      <w:rFonts w:ascii="Times New Roman" w:eastAsia="SimSun, 宋体" w:hAnsi="Times New Roman" w:cs="Mangal"/>
      <w:kern w:val="3"/>
      <w:sz w:val="24"/>
      <w:szCs w:val="24"/>
      <w:lang w:eastAsia="zh-CN" w:bidi="hi-IN"/>
    </w:rPr>
  </w:style>
  <w:style w:type="paragraph" w:styleId="SemEspaamento">
    <w:name w:val="No Spacing"/>
    <w:uiPriority w:val="1"/>
    <w:qFormat/>
    <w:rsid w:val="00E163B1"/>
    <w:pPr>
      <w:spacing w:after="0" w:line="240" w:lineRule="auto"/>
    </w:pPr>
  </w:style>
  <w:style w:type="paragraph" w:styleId="Textodebalo">
    <w:name w:val="Balloon Text"/>
    <w:basedOn w:val="Normal"/>
    <w:link w:val="TextodebaloChar"/>
    <w:uiPriority w:val="99"/>
    <w:semiHidden/>
    <w:unhideWhenUsed/>
    <w:rsid w:val="00B006FA"/>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B006FA"/>
    <w:rPr>
      <w:rFonts w:ascii="Segoe UI" w:hAnsi="Segoe UI" w:cs="Segoe UI"/>
      <w:sz w:val="18"/>
      <w:szCs w:val="18"/>
    </w:rPr>
  </w:style>
  <w:style w:type="paragraph" w:styleId="Cabealho">
    <w:name w:val="header"/>
    <w:basedOn w:val="Normal"/>
    <w:link w:val="CabealhoChar"/>
    <w:uiPriority w:val="99"/>
    <w:unhideWhenUsed/>
    <w:rsid w:val="0029139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9139A"/>
  </w:style>
  <w:style w:type="paragraph" w:styleId="Rodap">
    <w:name w:val="footer"/>
    <w:basedOn w:val="Normal"/>
    <w:link w:val="RodapChar"/>
    <w:uiPriority w:val="99"/>
    <w:unhideWhenUsed/>
    <w:rsid w:val="0029139A"/>
    <w:pPr>
      <w:tabs>
        <w:tab w:val="center" w:pos="4252"/>
        <w:tab w:val="right" w:pos="8504"/>
      </w:tabs>
      <w:spacing w:after="0" w:line="240" w:lineRule="auto"/>
    </w:pPr>
  </w:style>
  <w:style w:type="character" w:customStyle="1" w:styleId="RodapChar">
    <w:name w:val="Rodapé Char"/>
    <w:basedOn w:val="Fontepargpadro"/>
    <w:link w:val="Rodap"/>
    <w:uiPriority w:val="99"/>
    <w:rsid w:val="0029139A"/>
  </w:style>
  <w:style w:type="character" w:styleId="Forte">
    <w:name w:val="Strong"/>
    <w:basedOn w:val="Fontepargpadro"/>
    <w:uiPriority w:val="22"/>
    <w:qFormat/>
    <w:rsid w:val="00CB4D9E"/>
    <w:rPr>
      <w:b/>
      <w:bCs/>
    </w:rPr>
  </w:style>
  <w:style w:type="paragraph" w:customStyle="1" w:styleId="western">
    <w:name w:val="western"/>
    <w:basedOn w:val="Normal"/>
    <w:rsid w:val="00CB4D9E"/>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931920">
      <w:bodyDiv w:val="1"/>
      <w:marLeft w:val="0"/>
      <w:marRight w:val="0"/>
      <w:marTop w:val="0"/>
      <w:marBottom w:val="0"/>
      <w:divBdr>
        <w:top w:val="none" w:sz="0" w:space="0" w:color="auto"/>
        <w:left w:val="none" w:sz="0" w:space="0" w:color="auto"/>
        <w:bottom w:val="none" w:sz="0" w:space="0" w:color="auto"/>
        <w:right w:val="none" w:sz="0" w:space="0" w:color="auto"/>
      </w:divBdr>
      <w:divsChild>
        <w:div w:id="4132060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99597654">
      <w:bodyDiv w:val="1"/>
      <w:marLeft w:val="0"/>
      <w:marRight w:val="0"/>
      <w:marTop w:val="0"/>
      <w:marBottom w:val="0"/>
      <w:divBdr>
        <w:top w:val="none" w:sz="0" w:space="0" w:color="auto"/>
        <w:left w:val="none" w:sz="0" w:space="0" w:color="auto"/>
        <w:bottom w:val="none" w:sz="0" w:space="0" w:color="auto"/>
        <w:right w:val="none" w:sz="0" w:space="0" w:color="auto"/>
      </w:divBdr>
    </w:div>
    <w:div w:id="1324892941">
      <w:bodyDiv w:val="1"/>
      <w:marLeft w:val="0"/>
      <w:marRight w:val="0"/>
      <w:marTop w:val="0"/>
      <w:marBottom w:val="0"/>
      <w:divBdr>
        <w:top w:val="none" w:sz="0" w:space="0" w:color="auto"/>
        <w:left w:val="none" w:sz="0" w:space="0" w:color="auto"/>
        <w:bottom w:val="none" w:sz="0" w:space="0" w:color="auto"/>
        <w:right w:val="none" w:sz="0" w:space="0" w:color="auto"/>
      </w:divBdr>
      <w:divsChild>
        <w:div w:id="63333844">
          <w:blockQuote w:val="1"/>
          <w:marLeft w:val="720"/>
          <w:marRight w:val="720"/>
          <w:marTop w:val="100"/>
          <w:marBottom w:val="100"/>
          <w:divBdr>
            <w:top w:val="none" w:sz="0" w:space="0" w:color="auto"/>
            <w:left w:val="none" w:sz="0" w:space="0" w:color="auto"/>
            <w:bottom w:val="none" w:sz="0" w:space="0" w:color="auto"/>
            <w:right w:val="none" w:sz="0" w:space="0" w:color="auto"/>
          </w:divBdr>
        </w:div>
        <w:div w:id="205534169">
          <w:blockQuote w:val="1"/>
          <w:marLeft w:val="720"/>
          <w:marRight w:val="720"/>
          <w:marTop w:val="100"/>
          <w:marBottom w:val="100"/>
          <w:divBdr>
            <w:top w:val="none" w:sz="0" w:space="0" w:color="auto"/>
            <w:left w:val="none" w:sz="0" w:space="0" w:color="auto"/>
            <w:bottom w:val="none" w:sz="0" w:space="0" w:color="auto"/>
            <w:right w:val="none" w:sz="0" w:space="0" w:color="auto"/>
          </w:divBdr>
        </w:div>
        <w:div w:id="221794510">
          <w:blockQuote w:val="1"/>
          <w:marLeft w:val="720"/>
          <w:marRight w:val="720"/>
          <w:marTop w:val="100"/>
          <w:marBottom w:val="100"/>
          <w:divBdr>
            <w:top w:val="none" w:sz="0" w:space="0" w:color="auto"/>
            <w:left w:val="none" w:sz="0" w:space="0" w:color="auto"/>
            <w:bottom w:val="none" w:sz="0" w:space="0" w:color="auto"/>
            <w:right w:val="none" w:sz="0" w:space="0" w:color="auto"/>
          </w:divBdr>
        </w:div>
        <w:div w:id="243075742">
          <w:blockQuote w:val="1"/>
          <w:marLeft w:val="720"/>
          <w:marRight w:val="720"/>
          <w:marTop w:val="100"/>
          <w:marBottom w:val="100"/>
          <w:divBdr>
            <w:top w:val="none" w:sz="0" w:space="0" w:color="auto"/>
            <w:left w:val="none" w:sz="0" w:space="0" w:color="auto"/>
            <w:bottom w:val="none" w:sz="0" w:space="0" w:color="auto"/>
            <w:right w:val="none" w:sz="0" w:space="0" w:color="auto"/>
          </w:divBdr>
        </w:div>
        <w:div w:id="301036914">
          <w:blockQuote w:val="1"/>
          <w:marLeft w:val="720"/>
          <w:marRight w:val="720"/>
          <w:marTop w:val="100"/>
          <w:marBottom w:val="100"/>
          <w:divBdr>
            <w:top w:val="none" w:sz="0" w:space="0" w:color="auto"/>
            <w:left w:val="none" w:sz="0" w:space="0" w:color="auto"/>
            <w:bottom w:val="none" w:sz="0" w:space="0" w:color="auto"/>
            <w:right w:val="none" w:sz="0" w:space="0" w:color="auto"/>
          </w:divBdr>
        </w:div>
        <w:div w:id="700281238">
          <w:blockQuote w:val="1"/>
          <w:marLeft w:val="720"/>
          <w:marRight w:val="720"/>
          <w:marTop w:val="100"/>
          <w:marBottom w:val="100"/>
          <w:divBdr>
            <w:top w:val="none" w:sz="0" w:space="0" w:color="auto"/>
            <w:left w:val="none" w:sz="0" w:space="0" w:color="auto"/>
            <w:bottom w:val="none" w:sz="0" w:space="0" w:color="auto"/>
            <w:right w:val="none" w:sz="0" w:space="0" w:color="auto"/>
          </w:divBdr>
        </w:div>
        <w:div w:id="811868956">
          <w:blockQuote w:val="1"/>
          <w:marLeft w:val="720"/>
          <w:marRight w:val="720"/>
          <w:marTop w:val="100"/>
          <w:marBottom w:val="100"/>
          <w:divBdr>
            <w:top w:val="none" w:sz="0" w:space="0" w:color="auto"/>
            <w:left w:val="none" w:sz="0" w:space="0" w:color="auto"/>
            <w:bottom w:val="none" w:sz="0" w:space="0" w:color="auto"/>
            <w:right w:val="none" w:sz="0" w:space="0" w:color="auto"/>
          </w:divBdr>
        </w:div>
        <w:div w:id="965618256">
          <w:blockQuote w:val="1"/>
          <w:marLeft w:val="720"/>
          <w:marRight w:val="720"/>
          <w:marTop w:val="100"/>
          <w:marBottom w:val="100"/>
          <w:divBdr>
            <w:top w:val="none" w:sz="0" w:space="0" w:color="auto"/>
            <w:left w:val="none" w:sz="0" w:space="0" w:color="auto"/>
            <w:bottom w:val="none" w:sz="0" w:space="0" w:color="auto"/>
            <w:right w:val="none" w:sz="0" w:space="0" w:color="auto"/>
          </w:divBdr>
        </w:div>
        <w:div w:id="1664048933">
          <w:blockQuote w:val="1"/>
          <w:marLeft w:val="720"/>
          <w:marRight w:val="720"/>
          <w:marTop w:val="100"/>
          <w:marBottom w:val="100"/>
          <w:divBdr>
            <w:top w:val="none" w:sz="0" w:space="0" w:color="auto"/>
            <w:left w:val="none" w:sz="0" w:space="0" w:color="auto"/>
            <w:bottom w:val="none" w:sz="0" w:space="0" w:color="auto"/>
            <w:right w:val="none" w:sz="0" w:space="0" w:color="auto"/>
          </w:divBdr>
        </w:div>
        <w:div w:id="17918981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0675097">
      <w:bodyDiv w:val="1"/>
      <w:marLeft w:val="0"/>
      <w:marRight w:val="0"/>
      <w:marTop w:val="0"/>
      <w:marBottom w:val="0"/>
      <w:divBdr>
        <w:top w:val="none" w:sz="0" w:space="0" w:color="auto"/>
        <w:left w:val="none" w:sz="0" w:space="0" w:color="auto"/>
        <w:bottom w:val="none" w:sz="0" w:space="0" w:color="auto"/>
        <w:right w:val="none" w:sz="0" w:space="0" w:color="auto"/>
      </w:divBdr>
    </w:div>
    <w:div w:id="1374768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7C059B-3C49-48B0-B960-BBD99728F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1908</Words>
  <Characters>10307</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Nelroger s</dc:creator>
  <cp:keywords/>
  <dc:description/>
  <cp:lastModifiedBy>Nina</cp:lastModifiedBy>
  <cp:revision>5</cp:revision>
  <cp:lastPrinted>2020-10-05T12:37:00Z</cp:lastPrinted>
  <dcterms:created xsi:type="dcterms:W3CDTF">2020-10-02T14:49:00Z</dcterms:created>
  <dcterms:modified xsi:type="dcterms:W3CDTF">2020-10-05T12:38:00Z</dcterms:modified>
</cp:coreProperties>
</file>