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19D8C" w14:textId="725E81B5" w:rsidR="004B42CA" w:rsidRDefault="004B42CA" w:rsidP="007F7ADB">
      <w:pPr>
        <w:spacing w:after="0" w:line="240" w:lineRule="auto"/>
        <w:jc w:val="both"/>
        <w:rPr>
          <w:rFonts w:ascii="Arial" w:hAnsi="Arial" w:cs="Arial"/>
          <w:b/>
          <w:bCs/>
        </w:rPr>
      </w:pPr>
      <w:r w:rsidRPr="007F7ADB">
        <w:rPr>
          <w:rFonts w:ascii="Arial" w:hAnsi="Arial" w:cs="Arial"/>
          <w:b/>
          <w:bCs/>
        </w:rPr>
        <w:t xml:space="preserve">PARECER JURÍDICO </w:t>
      </w:r>
    </w:p>
    <w:p w14:paraId="2EA2E1C2" w14:textId="1E5140B2" w:rsidR="007F7ADB" w:rsidRDefault="007F7ADB" w:rsidP="007F7ADB">
      <w:pPr>
        <w:spacing w:after="0" w:line="240" w:lineRule="auto"/>
        <w:jc w:val="both"/>
        <w:rPr>
          <w:rFonts w:ascii="Arial" w:hAnsi="Arial" w:cs="Arial"/>
          <w:b/>
          <w:bCs/>
        </w:rPr>
      </w:pPr>
      <w:r>
        <w:rPr>
          <w:rFonts w:ascii="Arial" w:hAnsi="Arial" w:cs="Arial"/>
          <w:b/>
          <w:bCs/>
        </w:rPr>
        <w:t>Processo administrativo nº 050/2020</w:t>
      </w:r>
    </w:p>
    <w:p w14:paraId="0E4449BD" w14:textId="02E94868" w:rsidR="007F7ADB" w:rsidRPr="007F7ADB" w:rsidRDefault="007F7ADB" w:rsidP="007F7ADB">
      <w:pPr>
        <w:spacing w:after="0" w:line="240" w:lineRule="auto"/>
        <w:jc w:val="both"/>
        <w:rPr>
          <w:rFonts w:ascii="Arial" w:hAnsi="Arial" w:cs="Arial"/>
          <w:b/>
          <w:bCs/>
        </w:rPr>
      </w:pPr>
      <w:r>
        <w:rPr>
          <w:rFonts w:ascii="Arial" w:hAnsi="Arial" w:cs="Arial"/>
          <w:b/>
          <w:bCs/>
        </w:rPr>
        <w:t>Inexigibilidade nº 004/2020</w:t>
      </w:r>
    </w:p>
    <w:p w14:paraId="70E999CE" w14:textId="77777777" w:rsidR="007F7ADB" w:rsidRDefault="007F7ADB" w:rsidP="004B42CA">
      <w:pPr>
        <w:jc w:val="both"/>
        <w:rPr>
          <w:rFonts w:ascii="Arial" w:hAnsi="Arial" w:cs="Arial"/>
          <w:b/>
          <w:bCs/>
        </w:rPr>
      </w:pPr>
    </w:p>
    <w:p w14:paraId="3AD7CFE7" w14:textId="7F68C20E" w:rsidR="004B42CA" w:rsidRPr="007F7ADB" w:rsidRDefault="004B42CA" w:rsidP="004B42CA">
      <w:pPr>
        <w:jc w:val="both"/>
        <w:rPr>
          <w:rFonts w:ascii="Arial" w:hAnsi="Arial" w:cs="Arial"/>
          <w:b/>
          <w:bCs/>
        </w:rPr>
      </w:pPr>
      <w:r w:rsidRPr="007F7ADB">
        <w:rPr>
          <w:rFonts w:ascii="Arial" w:hAnsi="Arial" w:cs="Arial"/>
          <w:b/>
          <w:bCs/>
        </w:rPr>
        <w:t xml:space="preserve">ASSUNTO: </w:t>
      </w:r>
    </w:p>
    <w:p w14:paraId="044FA6CA" w14:textId="77777777" w:rsidR="004B42CA" w:rsidRPr="004B42CA" w:rsidRDefault="004B42CA" w:rsidP="004B42CA">
      <w:pPr>
        <w:jc w:val="both"/>
        <w:rPr>
          <w:rFonts w:ascii="Arial" w:hAnsi="Arial" w:cs="Arial"/>
          <w:u w:val="single"/>
        </w:rPr>
      </w:pPr>
      <w:r w:rsidRPr="004B42CA">
        <w:rPr>
          <w:rFonts w:ascii="Arial" w:hAnsi="Arial" w:cs="Arial"/>
        </w:rPr>
        <w:t>Recebe esta Assessoria Jurídica, pedido de parecer sobre a possibilidade de realizar contratação direta através de Inexigibilidade de Licitação para CURSO DE PREGÃO ELETRÔNICO com CAPACITAÇÃO REMOTA DO COMPRASNET, com treinamento e acompanhamento dos servidores que atuam diretamente na realização de pregões eletrônicos, até de 31/01/2021, para uma turma de até 04 servidores públicos municipais, promovido pela empresa MR TREINAMENTOS LTDA.</w:t>
      </w:r>
    </w:p>
    <w:p w14:paraId="659CECFD" w14:textId="15892264" w:rsidR="004B42CA" w:rsidRPr="007F7ADB" w:rsidRDefault="007F7ADB" w:rsidP="007F7ADB">
      <w:pPr>
        <w:pStyle w:val="PargrafodaLista"/>
        <w:numPr>
          <w:ilvl w:val="0"/>
          <w:numId w:val="9"/>
        </w:numPr>
        <w:jc w:val="both"/>
        <w:rPr>
          <w:rFonts w:ascii="Arial" w:hAnsi="Arial" w:cs="Arial"/>
          <w:b/>
          <w:bCs/>
        </w:rPr>
      </w:pPr>
      <w:r>
        <w:rPr>
          <w:rFonts w:ascii="Arial" w:hAnsi="Arial" w:cs="Arial"/>
          <w:b/>
          <w:bCs/>
        </w:rPr>
        <w:t>RELATÓRIO</w:t>
      </w:r>
    </w:p>
    <w:p w14:paraId="3D062E86" w14:textId="55D4AD0F" w:rsidR="004B42CA" w:rsidRPr="004B42CA" w:rsidRDefault="004B42CA" w:rsidP="004B42CA">
      <w:pPr>
        <w:jc w:val="both"/>
        <w:rPr>
          <w:rFonts w:ascii="Arial" w:hAnsi="Arial" w:cs="Arial"/>
        </w:rPr>
      </w:pPr>
      <w:r w:rsidRPr="004B42CA">
        <w:rPr>
          <w:rFonts w:ascii="Arial" w:hAnsi="Arial" w:cs="Arial"/>
        </w:rPr>
        <w:t xml:space="preserve">O processo teve início com a requisição da </w:t>
      </w:r>
      <w:r w:rsidR="00A41681">
        <w:rPr>
          <w:rFonts w:ascii="Arial" w:hAnsi="Arial" w:cs="Arial"/>
        </w:rPr>
        <w:t>Secretaria Municipal de Administração</w:t>
      </w:r>
      <w:bookmarkStart w:id="0" w:name="_GoBack"/>
      <w:bookmarkEnd w:id="0"/>
      <w:r w:rsidRPr="004B42CA">
        <w:rPr>
          <w:rFonts w:ascii="Arial" w:hAnsi="Arial" w:cs="Arial"/>
        </w:rPr>
        <w:t xml:space="preserve">, objetivando a qualificação contínua de servidores no Curso de Pregão Eletrônico com Capacitação Remota do </w:t>
      </w:r>
      <w:proofErr w:type="spellStart"/>
      <w:r w:rsidRPr="004B42CA">
        <w:rPr>
          <w:rFonts w:ascii="Arial" w:hAnsi="Arial" w:cs="Arial"/>
        </w:rPr>
        <w:t>Comprasnet</w:t>
      </w:r>
      <w:proofErr w:type="spellEnd"/>
      <w:r w:rsidRPr="004B42CA">
        <w:rPr>
          <w:rFonts w:ascii="Arial" w:hAnsi="Arial" w:cs="Arial"/>
        </w:rPr>
        <w:t>, com treinamento e acompanhamento dos servidores que atuam diretamente na realização de pregões eletrônicos, até o dia 31/01/2021, para uma turma de até 04 servidores.</w:t>
      </w:r>
    </w:p>
    <w:p w14:paraId="25D68D02" w14:textId="77777777" w:rsidR="004B42CA" w:rsidRPr="004B42CA" w:rsidRDefault="004B42CA" w:rsidP="004B42CA">
      <w:pPr>
        <w:jc w:val="both"/>
        <w:rPr>
          <w:rFonts w:ascii="Arial" w:hAnsi="Arial" w:cs="Arial"/>
        </w:rPr>
      </w:pPr>
      <w:r w:rsidRPr="004B42CA">
        <w:rPr>
          <w:rFonts w:ascii="Arial" w:hAnsi="Arial" w:cs="Arial"/>
        </w:rPr>
        <w:t xml:space="preserve">O Departamento de Licitações instruiu o processo com as informações preliminares pertinentes, onde justifica a necessidade da capacitação solicitada e a notória especialização da empresa a ser contratada, com isso, a autorização para efetivar a contratação direta foi dada pelo Prefeito. </w:t>
      </w:r>
    </w:p>
    <w:p w14:paraId="2C6F4526" w14:textId="77777777" w:rsidR="004B42CA" w:rsidRPr="004B42CA" w:rsidRDefault="004B42CA" w:rsidP="004B42CA">
      <w:pPr>
        <w:jc w:val="both"/>
        <w:rPr>
          <w:rFonts w:ascii="Arial" w:hAnsi="Arial" w:cs="Arial"/>
        </w:rPr>
      </w:pPr>
      <w:r w:rsidRPr="004B42CA">
        <w:rPr>
          <w:rFonts w:ascii="Arial" w:hAnsi="Arial" w:cs="Arial"/>
        </w:rPr>
        <w:t>A solicitação sugere que o processo ocorra através de Inexigibilidade de Licitação, com fundamento no art. 25, II, da Lei de Licitações, tendo em vista que se trata de serviços técnicos, de natureza singular, desenvolvidos por entidade que detém notória especialização para nos cursos ofertados.</w:t>
      </w:r>
    </w:p>
    <w:p w14:paraId="33F50D15" w14:textId="44203FA6" w:rsidR="004B42CA" w:rsidRDefault="004B42CA" w:rsidP="004B42CA">
      <w:pPr>
        <w:jc w:val="both"/>
        <w:rPr>
          <w:rFonts w:ascii="Arial" w:hAnsi="Arial" w:cs="Arial"/>
        </w:rPr>
      </w:pPr>
      <w:r w:rsidRPr="004B42CA">
        <w:rPr>
          <w:rFonts w:ascii="Arial" w:hAnsi="Arial" w:cs="Arial"/>
        </w:rPr>
        <w:t>É o relatório.</w:t>
      </w:r>
    </w:p>
    <w:p w14:paraId="2436A1CB" w14:textId="38D83020" w:rsidR="00622577" w:rsidRPr="007F7ADB" w:rsidRDefault="00622577" w:rsidP="007F7ADB">
      <w:pPr>
        <w:pStyle w:val="PargrafodaLista"/>
        <w:numPr>
          <w:ilvl w:val="0"/>
          <w:numId w:val="9"/>
        </w:numPr>
        <w:jc w:val="both"/>
        <w:rPr>
          <w:rFonts w:ascii="Arial" w:hAnsi="Arial" w:cs="Arial"/>
          <w:b/>
          <w:bCs/>
        </w:rPr>
      </w:pPr>
      <w:r w:rsidRPr="007F7ADB">
        <w:rPr>
          <w:rFonts w:ascii="Arial" w:hAnsi="Arial" w:cs="Arial"/>
          <w:b/>
          <w:bCs/>
        </w:rPr>
        <w:t>CONSIDERAÇÕES NECESSÁRIAS</w:t>
      </w:r>
    </w:p>
    <w:p w14:paraId="63C412D6" w14:textId="03B93CED" w:rsidR="00622577" w:rsidRPr="00622577" w:rsidRDefault="00622577" w:rsidP="00622577">
      <w:pPr>
        <w:jc w:val="both"/>
        <w:rPr>
          <w:rFonts w:ascii="Arial" w:hAnsi="Arial" w:cs="Arial"/>
        </w:rPr>
      </w:pPr>
      <w:r w:rsidRPr="00622577">
        <w:rPr>
          <w:rFonts w:ascii="Arial" w:hAnsi="Arial" w:cs="Arial"/>
        </w:rPr>
        <w:t>Inicialmente é válido registrar que o exame jurídico prévio das minutas de editais de licitação, bem como as dos contratos, acordos, convênios ou ajustes de que trata o parágrafo único do artigo 38, da lei nº 8.666/93, é exame “que se restringe à parte jurídica e formal do instrumento, não abrangendo a parte técnica dos mesmos.” (Tolosa Filho, Benedito de Licitações: Comentários, teoria e prática: Lei nº 8.666/93. Rio de Janeiro: Forense, 2000, p. 119).</w:t>
      </w:r>
    </w:p>
    <w:p w14:paraId="74138E3B" w14:textId="4496EFAE" w:rsidR="00622577" w:rsidRPr="00622577" w:rsidRDefault="00622577" w:rsidP="00622577">
      <w:pPr>
        <w:jc w:val="both"/>
        <w:rPr>
          <w:rFonts w:ascii="Arial" w:hAnsi="Arial" w:cs="Arial"/>
        </w:rPr>
      </w:pPr>
      <w:r w:rsidRPr="00622577">
        <w:rPr>
          <w:rFonts w:ascii="Arial" w:hAnsi="Arial" w:cs="Arial"/>
        </w:rPr>
        <w:t>Ressalte-se que o parecer jurídico visa a informar, elucidar, enfim, sugerir providências administrativas a serem estabelecidas nos atos da administração ativa.</w:t>
      </w:r>
    </w:p>
    <w:p w14:paraId="2D445C41" w14:textId="77777777" w:rsidR="00622577" w:rsidRPr="00622577" w:rsidRDefault="00622577" w:rsidP="00622577">
      <w:pPr>
        <w:jc w:val="both"/>
        <w:rPr>
          <w:rFonts w:ascii="Arial" w:hAnsi="Arial" w:cs="Arial"/>
        </w:rPr>
      </w:pPr>
      <w:r w:rsidRPr="00622577">
        <w:rPr>
          <w:rFonts w:ascii="Arial" w:hAnsi="Arial" w:cs="Arial"/>
        </w:rPr>
        <w:lastRenderedPageBreak/>
        <w:t xml:space="preserve">Cumpre esclarecer, também, que toda verificação desta Assessoria Jurídica tem por base as informações prestadas e a documentação encaminhada pelos órgãos competentes e especializados da Administração Pública. </w:t>
      </w:r>
    </w:p>
    <w:p w14:paraId="5713BE63" w14:textId="77777777" w:rsidR="00FE39E5" w:rsidRDefault="00622577" w:rsidP="00622577">
      <w:pPr>
        <w:jc w:val="both"/>
        <w:rPr>
          <w:rFonts w:ascii="Arial" w:hAnsi="Arial" w:cs="Arial"/>
        </w:rPr>
      </w:pPr>
      <w:r w:rsidRPr="00622577">
        <w:rPr>
          <w:rFonts w:ascii="Arial" w:hAnsi="Arial" w:cs="Arial"/>
        </w:rPr>
        <w:t>Toda manifestação expressa posição meramente opinativa sobre a contratação em tela, não representando prática de ato de gestão, mas sim uma aferição técnico-jurídica que se restringe a análise dos aspectos de legalidade nos termos do inciso VI do artigo 38 da Lei nº 8.666/93, aferição que, inclusive, não abrange o conteúdo de escolhas gerenciais específicas ou mesmo elementos que fundamentaram a decisão contratual do administrador, em seu âmbito discricionário.</w:t>
      </w:r>
    </w:p>
    <w:p w14:paraId="61B96019" w14:textId="6D75B0FD" w:rsidR="00622577" w:rsidRPr="00622577" w:rsidRDefault="00622577" w:rsidP="00622577">
      <w:pPr>
        <w:jc w:val="both"/>
        <w:rPr>
          <w:rFonts w:ascii="Arial" w:hAnsi="Arial" w:cs="Arial"/>
        </w:rPr>
      </w:pPr>
      <w:r w:rsidRPr="00622577">
        <w:rPr>
          <w:rFonts w:ascii="Arial" w:hAnsi="Arial" w:cs="Arial"/>
        </w:rPr>
        <w:t xml:space="preserve"> Nota-se que em momento algum, se está fazendo qualquer juízo de valor quanto às razões elencadas pelos servidores que praticaram atos no intuito de justificar a referida contratação.</w:t>
      </w:r>
    </w:p>
    <w:p w14:paraId="33823230" w14:textId="4D6A7D93" w:rsidR="00761285" w:rsidRPr="004B42CA" w:rsidRDefault="004B42CA" w:rsidP="007F7ADB">
      <w:pPr>
        <w:pStyle w:val="PargrafodaLista"/>
        <w:numPr>
          <w:ilvl w:val="0"/>
          <w:numId w:val="9"/>
        </w:numPr>
        <w:jc w:val="both"/>
        <w:rPr>
          <w:rFonts w:ascii="Arial" w:hAnsi="Arial" w:cs="Arial"/>
          <w:b/>
          <w:bCs/>
        </w:rPr>
      </w:pPr>
      <w:r w:rsidRPr="004B42CA">
        <w:rPr>
          <w:rFonts w:ascii="Arial" w:hAnsi="Arial" w:cs="Arial"/>
          <w:b/>
          <w:bCs/>
        </w:rPr>
        <w:t>DA ANÁLISE</w:t>
      </w:r>
    </w:p>
    <w:p w14:paraId="63AA26F1" w14:textId="71EAF977" w:rsidR="004B42CA" w:rsidRPr="004B42CA" w:rsidRDefault="004B42CA" w:rsidP="004B42CA">
      <w:pPr>
        <w:jc w:val="both"/>
        <w:rPr>
          <w:rFonts w:ascii="Arial" w:hAnsi="Arial" w:cs="Arial"/>
        </w:rPr>
      </w:pPr>
      <w:r w:rsidRPr="004B42CA">
        <w:rPr>
          <w:rFonts w:ascii="Arial" w:hAnsi="Arial" w:cs="Arial"/>
        </w:rPr>
        <w:t xml:space="preserve">Cabe esclarecer que a licitação é inexigível quando ocorre, no caso concreto, circunstâncias especiais, de fato ou de direito, previstas em lei, as quais se revelam inviabilizadoras de competição, afastam peremptoriamente a licitação, consubstanciando numa presunção relativa de que a licitação não pode ser realizada em razão do objeto ou em razão da pessoa ou em razão de situações excepcionais. </w:t>
      </w:r>
    </w:p>
    <w:p w14:paraId="11F2F96C" w14:textId="00205446" w:rsidR="004B42CA" w:rsidRDefault="004B42CA" w:rsidP="004B42CA">
      <w:pPr>
        <w:jc w:val="both"/>
        <w:rPr>
          <w:rFonts w:ascii="Arial" w:hAnsi="Arial" w:cs="Arial"/>
        </w:rPr>
      </w:pPr>
      <w:r w:rsidRPr="004B42CA">
        <w:rPr>
          <w:rFonts w:ascii="Arial" w:hAnsi="Arial" w:cs="Arial"/>
        </w:rPr>
        <w:t xml:space="preserve">Considerando que a contratação que se pretende realizar é de grande importância para </w:t>
      </w:r>
      <w:r>
        <w:rPr>
          <w:rFonts w:ascii="Arial" w:hAnsi="Arial" w:cs="Arial"/>
        </w:rPr>
        <w:t>o município</w:t>
      </w:r>
      <w:r w:rsidRPr="004B42CA">
        <w:rPr>
          <w:rFonts w:ascii="Arial" w:hAnsi="Arial" w:cs="Arial"/>
        </w:rPr>
        <w:t xml:space="preserve">, opina esta </w:t>
      </w:r>
      <w:r>
        <w:rPr>
          <w:rFonts w:ascii="Arial" w:hAnsi="Arial" w:cs="Arial"/>
        </w:rPr>
        <w:t>Assessoria Jurídica</w:t>
      </w:r>
      <w:r w:rsidRPr="004B42CA">
        <w:rPr>
          <w:rFonts w:ascii="Arial" w:hAnsi="Arial" w:cs="Arial"/>
        </w:rPr>
        <w:t xml:space="preserve"> favoravelmente à continuidade do processo, através de Inexigibilidade de Licitação, por entender que estão preenchidos os requisitos do artigo 25, II, da Lei nº 8.666/93, conforme segue:</w:t>
      </w:r>
    </w:p>
    <w:p w14:paraId="50D94D76" w14:textId="77777777" w:rsidR="004B42CA" w:rsidRPr="004B42CA" w:rsidRDefault="004B42CA" w:rsidP="004B42CA">
      <w:pPr>
        <w:ind w:left="2268"/>
        <w:jc w:val="both"/>
        <w:rPr>
          <w:rFonts w:ascii="Arial" w:hAnsi="Arial" w:cs="Arial"/>
          <w:i/>
          <w:iCs/>
        </w:rPr>
      </w:pPr>
      <w:r w:rsidRPr="004B42CA">
        <w:rPr>
          <w:rFonts w:ascii="Arial" w:hAnsi="Arial" w:cs="Arial"/>
          <w:i/>
          <w:iCs/>
        </w:rPr>
        <w:t xml:space="preserve">Art. 25. É inexigível a licitação quando houver inviabilidade de competição, em especial: ... II - para a contratação de serviços técnicos enumerados no art. 13 desta Lei, de natureza singular, com profissionais ou empresas de notória especialização, vedada a inexigibilidade para serviços de publicidade e divulgação. </w:t>
      </w:r>
    </w:p>
    <w:p w14:paraId="56BBF624" w14:textId="77777777" w:rsidR="004B42CA" w:rsidRDefault="004B42CA" w:rsidP="004B42CA">
      <w:pPr>
        <w:jc w:val="both"/>
        <w:rPr>
          <w:rFonts w:ascii="Arial" w:hAnsi="Arial" w:cs="Arial"/>
        </w:rPr>
      </w:pPr>
      <w:r w:rsidRPr="004B42CA">
        <w:rPr>
          <w:rFonts w:ascii="Arial" w:hAnsi="Arial" w:cs="Arial"/>
        </w:rPr>
        <w:t xml:space="preserve">Quanto à hipótese de contratação direta de profissional ou empresa de notória especialização, é válida a lição de Edgar Guimarães1 quanto ao tema: </w:t>
      </w:r>
    </w:p>
    <w:p w14:paraId="0FF44100" w14:textId="77777777" w:rsidR="004B42CA" w:rsidRPr="004B42CA" w:rsidRDefault="004B42CA" w:rsidP="004B42CA">
      <w:pPr>
        <w:ind w:left="2268"/>
        <w:jc w:val="both"/>
        <w:rPr>
          <w:rFonts w:ascii="Arial" w:hAnsi="Arial" w:cs="Arial"/>
          <w:i/>
          <w:iCs/>
        </w:rPr>
      </w:pPr>
      <w:r w:rsidRPr="004B42CA">
        <w:rPr>
          <w:rFonts w:ascii="Arial" w:hAnsi="Arial" w:cs="Arial"/>
          <w:i/>
          <w:iCs/>
        </w:rPr>
        <w:t xml:space="preserve">(...) ao fazer menção a serviços técnicos de natureza singular, que requisitam a participação de profissionais detentores de notória especialização para sua execução, a regra deixa transparecer o reconhecimento de que a execução dos encargos contratuais pode ser realizada por mais de um sujeito. Mas, as características singulares do objeto, aliadas à necessidade de se requisitar a participação de profissionais detentores de </w:t>
      </w:r>
      <w:r w:rsidRPr="004B42CA">
        <w:rPr>
          <w:rFonts w:ascii="Arial" w:hAnsi="Arial" w:cs="Arial"/>
          <w:i/>
          <w:iCs/>
        </w:rPr>
        <w:lastRenderedPageBreak/>
        <w:t xml:space="preserve">notória especialização, tornam viável o estabelecimento de requisitos objetivos aptos a viabilizar a seleção dos interessados. A situação, portanto, encerra uma inviabilidade relativa de competição, na medida em que há uma pluralidade de possíveis prestadores, mas a realização de um certame competitivo esvai-se totalmente na medida em que não há meios de se definir critérios objetivos de seleção para fundamentar a licitação. </w:t>
      </w:r>
    </w:p>
    <w:p w14:paraId="47530AF8" w14:textId="77777777" w:rsidR="00FE39E5" w:rsidRPr="00FE39E5" w:rsidRDefault="004B42CA" w:rsidP="00FE39E5">
      <w:pPr>
        <w:jc w:val="both"/>
        <w:rPr>
          <w:rFonts w:ascii="Arial" w:hAnsi="Arial" w:cs="Arial"/>
        </w:rPr>
      </w:pPr>
      <w:r w:rsidRPr="00FE39E5">
        <w:rPr>
          <w:rFonts w:ascii="Arial" w:hAnsi="Arial" w:cs="Arial"/>
        </w:rPr>
        <w:t xml:space="preserve">Vejamos abaixo o posicionamento do STJ quanto ao tema: </w:t>
      </w:r>
    </w:p>
    <w:p w14:paraId="654B3861" w14:textId="2B7BCC22" w:rsidR="004B42CA" w:rsidRPr="00FE39E5" w:rsidRDefault="004B42CA" w:rsidP="004B42CA">
      <w:pPr>
        <w:ind w:left="2268"/>
        <w:jc w:val="both"/>
        <w:rPr>
          <w:rFonts w:ascii="Arial" w:hAnsi="Arial" w:cs="Arial"/>
          <w:i/>
          <w:iCs/>
        </w:rPr>
      </w:pPr>
      <w:r w:rsidRPr="00FE39E5">
        <w:rPr>
          <w:rFonts w:ascii="Arial" w:hAnsi="Arial" w:cs="Arial"/>
          <w:i/>
          <w:iCs/>
        </w:rPr>
        <w:t xml:space="preserve">ADMINISTRATIVO. PROCESSUAL CIVIL. AÇÃO CIVIL PÚBLICA POR ATO DE IMPROBIDADE. CONTRATAÇÃO DE ADVOGADO. LICITAÇÃO. INEXIGIBILIDADE. SERVIÇO SINGULAR E NOTÓRIA ESPECIALIZAÇÃO RECONHECIDOS NA ORIGEM. REEXAME FÁTICOPROBATÓRIO. SÚMULA 7/STJ. 1. A contratação sem licitação, por inexigibilidade, deve estar vinculada à notória especialização do prestador de serviço, de forma a evidenciar que o seu trabalho é o mais adequado para a satisfação do objeto contratado e, sendo assim, inviável a competição entre outros profissionais. 2. O Tribunal de origem, com base nos fatos e nas provas contidos nos autos, atestou a notória especialização dos escritórios de advocacia, dentro daquela municipalidade, e a singularidade do serviço a ser prestado, de modo que a reforma do acórdão recorrido demandaria o reexame do contexto fático-probatório, o que é vedado ao STJ por óbice da Súmula 7/STJ. Precedentes. Agravo regimental improvido. (STJ, Relator: Ministro HUMBERTO MARTINS, Data de Julgamento: 17/10/2013, T2 - SEGUNDA TURMA). </w:t>
      </w:r>
    </w:p>
    <w:p w14:paraId="1387E053" w14:textId="77777777" w:rsidR="00FE39E5" w:rsidRPr="00FE39E5" w:rsidRDefault="004B42CA" w:rsidP="00FE39E5">
      <w:pPr>
        <w:jc w:val="both"/>
        <w:rPr>
          <w:rFonts w:ascii="Arial" w:hAnsi="Arial" w:cs="Arial"/>
        </w:rPr>
      </w:pPr>
      <w:r w:rsidRPr="00FE39E5">
        <w:rPr>
          <w:rFonts w:ascii="Arial" w:hAnsi="Arial" w:cs="Arial"/>
        </w:rPr>
        <w:t xml:space="preserve">Nesse sentido é válido o entendimento do TJ de Santa Catarina quanto ao assunto: </w:t>
      </w:r>
    </w:p>
    <w:p w14:paraId="33899902" w14:textId="08C89EFC" w:rsidR="00FB1F63" w:rsidRDefault="004B42CA" w:rsidP="00FB1F63">
      <w:pPr>
        <w:ind w:left="2268"/>
        <w:jc w:val="both"/>
        <w:rPr>
          <w:rFonts w:ascii="Arial" w:hAnsi="Arial" w:cs="Arial"/>
          <w:i/>
          <w:iCs/>
        </w:rPr>
      </w:pPr>
      <w:r w:rsidRPr="004B42CA">
        <w:rPr>
          <w:rFonts w:ascii="Arial" w:hAnsi="Arial" w:cs="Arial"/>
          <w:i/>
          <w:iCs/>
        </w:rPr>
        <w:t xml:space="preserve">CONSTITUCIONAL E ADMINISTRATIVO. AÇÃO POPULAR. REEXAME NECESSÁRIO. INEXIGIBILIDADE DE LICITAÇÃO COM FUNDAMENTO NO ART. 25, II, DA LEI 8.666/93. CONTRATAÇÃO DE SERVIÇOS ESPECIALIZADOS DE CONSULTORIA TÉCNICA À SECRETARIA DE EDUCAÇÃO MUNICIPAL. SINGULARIDADE DO SERVIÇO E COMPROVAÇÃO DE NOTÓRIA ESPECIALIZAÇÃO DO CONTRATADO. AUSÊNCIA DE ILEGALIDADE DO ATO E DE LESIVIDADE AO PATRIMÔNIO PÚBLICO. SENTENÇA DE IMPROCEDÊNCIA MANTIDA. REMESSA DESPROVIDA. "A contratação de serviços, nos casos do inc. II do art. 25, visa a </w:t>
      </w:r>
      <w:r w:rsidRPr="004B42CA">
        <w:rPr>
          <w:rFonts w:ascii="Arial" w:hAnsi="Arial" w:cs="Arial"/>
          <w:i/>
          <w:iCs/>
        </w:rPr>
        <w:lastRenderedPageBreak/>
        <w:t>obter não apenas uma utilidade material. É evidente que interessa à Administração a produção de um certo resultado, mas a contratação também é norteada pela concepção de que esse resultado somente poderá ser alcançado se for possível contar com uma capacidade intelectiva extraordinária. O que a Administração busca, então, é o desempenho pessoal de ser humano dotado de capacidade especial de aplicar o conhecimento teórico para a solução de problemas no mundo real" (</w:t>
      </w:r>
      <w:proofErr w:type="spellStart"/>
      <w:r w:rsidRPr="004B42CA">
        <w:rPr>
          <w:rFonts w:ascii="Arial" w:hAnsi="Arial" w:cs="Arial"/>
          <w:i/>
          <w:iCs/>
        </w:rPr>
        <w:t>Marcal</w:t>
      </w:r>
      <w:proofErr w:type="spellEnd"/>
      <w:r w:rsidRPr="004B42CA">
        <w:rPr>
          <w:rFonts w:ascii="Arial" w:hAnsi="Arial" w:cs="Arial"/>
          <w:i/>
          <w:iCs/>
        </w:rPr>
        <w:t xml:space="preserve"> </w:t>
      </w:r>
      <w:proofErr w:type="spellStart"/>
      <w:r w:rsidRPr="004B42CA">
        <w:rPr>
          <w:rFonts w:ascii="Arial" w:hAnsi="Arial" w:cs="Arial"/>
          <w:i/>
          <w:iCs/>
        </w:rPr>
        <w:t>Justen</w:t>
      </w:r>
      <w:proofErr w:type="spellEnd"/>
      <w:r w:rsidRPr="004B42CA">
        <w:rPr>
          <w:rFonts w:ascii="Arial" w:hAnsi="Arial" w:cs="Arial"/>
          <w:i/>
          <w:iCs/>
        </w:rPr>
        <w:t xml:space="preserve"> Filho. Comentários à Lei de Licitações e Contratos Administrativos. 15 ed. São Paulo: Dialética, 2012, p. 418). </w:t>
      </w:r>
    </w:p>
    <w:p w14:paraId="16719C84" w14:textId="77777777" w:rsidR="00FB1F63" w:rsidRPr="00FE39E5" w:rsidRDefault="004B42CA" w:rsidP="00FB1F63">
      <w:pPr>
        <w:ind w:left="2268"/>
        <w:jc w:val="both"/>
        <w:rPr>
          <w:rFonts w:ascii="Arial" w:hAnsi="Arial" w:cs="Arial"/>
          <w:i/>
          <w:iCs/>
        </w:rPr>
      </w:pPr>
      <w:r w:rsidRPr="004B42CA">
        <w:rPr>
          <w:rFonts w:ascii="Arial" w:hAnsi="Arial" w:cs="Arial"/>
        </w:rPr>
        <w:t xml:space="preserve"> </w:t>
      </w:r>
      <w:r w:rsidRPr="00FE39E5">
        <w:rPr>
          <w:rFonts w:ascii="Arial" w:hAnsi="Arial" w:cs="Arial"/>
          <w:i/>
          <w:iCs/>
        </w:rPr>
        <w:t xml:space="preserve">(...) Marçal </w:t>
      </w:r>
      <w:proofErr w:type="spellStart"/>
      <w:r w:rsidRPr="00FE39E5">
        <w:rPr>
          <w:rFonts w:ascii="Arial" w:hAnsi="Arial" w:cs="Arial"/>
          <w:i/>
          <w:iCs/>
        </w:rPr>
        <w:t>Justen</w:t>
      </w:r>
      <w:proofErr w:type="spellEnd"/>
      <w:r w:rsidRPr="00FE39E5">
        <w:rPr>
          <w:rFonts w:ascii="Arial" w:hAnsi="Arial" w:cs="Arial"/>
          <w:i/>
          <w:iCs/>
        </w:rPr>
        <w:t xml:space="preserve"> Filho complementa: "Pode-se afirmar que a dispensa pressupõe uma licitação 'exigível'. É inexigível a licitação quando a disputa for inviável. Havendo viabilidade de disputa é obrigatória a licitação, excetuados os casos de 'dispensa' imposta por lei" (Comentários à Lei de Licitações e Contratos Administrativos. 15 ed. São Paulo: Dialética, 2012, p. 333). E mais, sobre o tema, Maria Sylvia Zanella </w:t>
      </w:r>
      <w:proofErr w:type="spellStart"/>
      <w:r w:rsidRPr="00FE39E5">
        <w:rPr>
          <w:rFonts w:ascii="Arial" w:hAnsi="Arial" w:cs="Arial"/>
          <w:i/>
          <w:iCs/>
        </w:rPr>
        <w:t>di</w:t>
      </w:r>
      <w:proofErr w:type="spellEnd"/>
      <w:r w:rsidRPr="00FE39E5">
        <w:rPr>
          <w:rFonts w:ascii="Arial" w:hAnsi="Arial" w:cs="Arial"/>
          <w:i/>
          <w:iCs/>
        </w:rPr>
        <w:t xml:space="preserve"> Pietro complementa que: "na dispensa, há possibilidade de competição que justifique a licitação; de modo que a lei faculta a dispensa, que fica inserida na competência discricionária da Administração. Nos casos de inexigibilidade, não há possibilidade de competição, porque só existe um objeto ou uma pessoa que atenda às necessidades da Administração; a licitação é, portanto, inviável". Visto tais distinções, observa-se que, no caso dos autos, não houve ilegalidade na inexigibilidade da licitação. </w:t>
      </w:r>
    </w:p>
    <w:p w14:paraId="2B495B9C" w14:textId="77777777" w:rsidR="00FB1F63" w:rsidRPr="00FE39E5" w:rsidRDefault="004B42CA" w:rsidP="00FB1F63">
      <w:pPr>
        <w:ind w:left="2268"/>
        <w:jc w:val="both"/>
        <w:rPr>
          <w:rFonts w:ascii="Arial" w:hAnsi="Arial" w:cs="Arial"/>
          <w:i/>
          <w:iCs/>
        </w:rPr>
      </w:pPr>
      <w:r w:rsidRPr="00FE39E5">
        <w:rPr>
          <w:rFonts w:ascii="Arial" w:hAnsi="Arial" w:cs="Arial"/>
          <w:i/>
          <w:iCs/>
        </w:rPr>
        <w:t>(...) Desta forma, percebe-se que não houve ilegalidade na inexigibilidade de licitação, tendo a Administração do Município de São José agido de acordo com o que dispõe o art. 25, II, art. 13 e art. 26, todos da Lei de Licitações (...) (TJ-SC - AC: 20130388863 SC 2013.038886-3 (Acórdão), Relator: Francisco Oliveira Neto, Data de Julgamento: 12/08/2013, Segunda Câmara de Direito Público Julgado)</w:t>
      </w:r>
    </w:p>
    <w:p w14:paraId="5E90BC15" w14:textId="5205497F" w:rsidR="00FB1F63" w:rsidRDefault="004B42CA" w:rsidP="00FB1F63">
      <w:pPr>
        <w:jc w:val="both"/>
        <w:rPr>
          <w:rFonts w:ascii="Arial" w:hAnsi="Arial" w:cs="Arial"/>
        </w:rPr>
      </w:pPr>
      <w:r w:rsidRPr="004B42CA">
        <w:rPr>
          <w:rFonts w:ascii="Arial" w:hAnsi="Arial" w:cs="Arial"/>
        </w:rPr>
        <w:t xml:space="preserve"> Oportuno ainda ressaltar o entendimento trazido pela decisão 439/1998 do Tribunal de </w:t>
      </w:r>
      <w:r w:rsidR="00FB1F63">
        <w:rPr>
          <w:rFonts w:ascii="Arial" w:hAnsi="Arial" w:cs="Arial"/>
        </w:rPr>
        <w:t xml:space="preserve">  </w:t>
      </w:r>
      <w:r w:rsidRPr="004B42CA">
        <w:rPr>
          <w:rFonts w:ascii="Arial" w:hAnsi="Arial" w:cs="Arial"/>
        </w:rPr>
        <w:t xml:space="preserve">Contas da União: </w:t>
      </w:r>
    </w:p>
    <w:p w14:paraId="08225529" w14:textId="77777777" w:rsidR="00FB1F63" w:rsidRPr="00FE39E5" w:rsidRDefault="004B42CA" w:rsidP="00FB1F63">
      <w:pPr>
        <w:ind w:left="2268"/>
        <w:jc w:val="both"/>
        <w:rPr>
          <w:rFonts w:ascii="Arial" w:hAnsi="Arial" w:cs="Arial"/>
          <w:b/>
          <w:bCs/>
          <w:i/>
          <w:iCs/>
        </w:rPr>
      </w:pPr>
      <w:r w:rsidRPr="00FE39E5">
        <w:rPr>
          <w:rFonts w:ascii="Arial" w:hAnsi="Arial" w:cs="Arial"/>
          <w:b/>
          <w:bCs/>
          <w:i/>
          <w:iCs/>
        </w:rPr>
        <w:t xml:space="preserve">TCU – Decisão 439/1998 - Plenário O Tribunal Pleno, diante das razões expostas pelo Relator, DECIDE: 1. </w:t>
      </w:r>
      <w:r w:rsidRPr="00FE39E5">
        <w:rPr>
          <w:rFonts w:ascii="Arial" w:hAnsi="Arial" w:cs="Arial"/>
          <w:b/>
          <w:bCs/>
          <w:i/>
          <w:iCs/>
          <w:u w:val="single"/>
        </w:rPr>
        <w:t xml:space="preserve">considerar que as contratações de professores, conferencistas ou instrutores para ministrar cursos de treinamento ou </w:t>
      </w:r>
      <w:r w:rsidRPr="00FE39E5">
        <w:rPr>
          <w:rFonts w:ascii="Arial" w:hAnsi="Arial" w:cs="Arial"/>
          <w:b/>
          <w:bCs/>
          <w:i/>
          <w:iCs/>
          <w:u w:val="single"/>
        </w:rPr>
        <w:lastRenderedPageBreak/>
        <w:t>aperfeiçoamento de pessoal, bem como a inscrição de servidores para participação de cursos abertos a terceiros, enquadram-se na hipótese de inexigibilidade de licitação</w:t>
      </w:r>
      <w:r w:rsidRPr="00FE39E5">
        <w:rPr>
          <w:rFonts w:ascii="Arial" w:hAnsi="Arial" w:cs="Arial"/>
          <w:b/>
          <w:bCs/>
          <w:i/>
          <w:iCs/>
        </w:rPr>
        <w:t xml:space="preserve"> prevista no inciso II do art. 25, combinado com o inciso VI do art. 13 da Lei nº 8.666/93; </w:t>
      </w:r>
    </w:p>
    <w:p w14:paraId="65431177" w14:textId="77777777" w:rsidR="00FB1F63" w:rsidRDefault="004B42CA" w:rsidP="00FB1F63">
      <w:pPr>
        <w:jc w:val="both"/>
        <w:rPr>
          <w:rFonts w:ascii="Arial" w:hAnsi="Arial" w:cs="Arial"/>
        </w:rPr>
      </w:pPr>
      <w:r w:rsidRPr="004B42CA">
        <w:rPr>
          <w:rFonts w:ascii="Arial" w:hAnsi="Arial" w:cs="Arial"/>
        </w:rPr>
        <w:t xml:space="preserve">Da mesma forma, acrescenta ao assunto em debate a Orientação Normativa nº 18, de 1º de abril de 2009, exarada pela Advocacia Geral da União (AGU): </w:t>
      </w:r>
    </w:p>
    <w:p w14:paraId="31C9FE5E" w14:textId="77777777" w:rsidR="00FB1F63" w:rsidRPr="00FB1F63" w:rsidRDefault="004B42CA" w:rsidP="00FB1F63">
      <w:pPr>
        <w:ind w:left="2268"/>
        <w:jc w:val="both"/>
        <w:rPr>
          <w:rFonts w:ascii="Arial" w:hAnsi="Arial" w:cs="Arial"/>
          <w:i/>
          <w:iCs/>
        </w:rPr>
      </w:pPr>
      <w:r w:rsidRPr="00FB1F63">
        <w:rPr>
          <w:rFonts w:ascii="Arial" w:hAnsi="Arial" w:cs="Arial"/>
          <w:i/>
          <w:iCs/>
        </w:rPr>
        <w:t xml:space="preserve">Contrata-se por inexigibilidade de licitação com fundamento no art. 25, inc. II, da Lei nº 8.666, de 1993, conferencistas para ministrar cursos para treinamento e aperfeiçoamento de pessoal, ou a inscrição em cursos abertos, desde que caracterizada a singularidade do objeto e verificado tratar-se de notório especialista. </w:t>
      </w:r>
    </w:p>
    <w:p w14:paraId="734DAAB6" w14:textId="737CE21C" w:rsidR="004B42CA" w:rsidRPr="00FB1F63" w:rsidRDefault="004B42CA" w:rsidP="00FB1F63">
      <w:pPr>
        <w:jc w:val="both"/>
        <w:rPr>
          <w:rFonts w:ascii="Arial" w:hAnsi="Arial" w:cs="Arial"/>
          <w:i/>
          <w:iCs/>
        </w:rPr>
      </w:pPr>
      <w:r w:rsidRPr="004B42CA">
        <w:rPr>
          <w:rFonts w:ascii="Arial" w:hAnsi="Arial" w:cs="Arial"/>
        </w:rPr>
        <w:t xml:space="preserve">Dessa forma, temos que no presente caso ficou configurada a inviabilidade de competição em razão da singularidade do objeto e da especialização da contratada, </w:t>
      </w:r>
      <w:r w:rsidR="00FE39E5">
        <w:rPr>
          <w:rFonts w:ascii="Arial" w:hAnsi="Arial" w:cs="Arial"/>
        </w:rPr>
        <w:t xml:space="preserve">considerando a vasta experiência na realização de cursos de aperfeiçoamento na área pública oferecidos pela empresa. </w:t>
      </w:r>
    </w:p>
    <w:p w14:paraId="0DB682C4" w14:textId="67B001AC" w:rsidR="00761285" w:rsidRDefault="00FB1F63" w:rsidP="007F7ADB">
      <w:pPr>
        <w:pStyle w:val="PargrafodaLista"/>
        <w:numPr>
          <w:ilvl w:val="0"/>
          <w:numId w:val="9"/>
        </w:numPr>
        <w:jc w:val="both"/>
        <w:rPr>
          <w:rFonts w:ascii="Arial" w:hAnsi="Arial" w:cs="Arial"/>
          <w:b/>
          <w:bCs/>
        </w:rPr>
      </w:pPr>
      <w:r>
        <w:rPr>
          <w:rFonts w:ascii="Arial" w:hAnsi="Arial" w:cs="Arial"/>
          <w:b/>
          <w:bCs/>
        </w:rPr>
        <w:t>DA CONCLUSÃO</w:t>
      </w:r>
    </w:p>
    <w:p w14:paraId="4C19EAD6" w14:textId="77777777" w:rsidR="007F7ADB" w:rsidRDefault="00FE39E5" w:rsidP="007F7ADB">
      <w:pPr>
        <w:jc w:val="both"/>
        <w:rPr>
          <w:rFonts w:ascii="Arial" w:hAnsi="Arial" w:cs="Arial"/>
        </w:rPr>
      </w:pPr>
      <w:r w:rsidRPr="00FE39E5">
        <w:rPr>
          <w:rFonts w:ascii="Arial" w:hAnsi="Arial" w:cs="Arial"/>
        </w:rPr>
        <w:t xml:space="preserve">ANTE O EXPOSTO, permite a esta Assessoria Jurídica manifestar-se favorável a </w:t>
      </w:r>
      <w:r w:rsidR="007F7ADB" w:rsidRPr="00FB1F63">
        <w:rPr>
          <w:rFonts w:ascii="Arial" w:hAnsi="Arial" w:cs="Arial"/>
        </w:rPr>
        <w:t xml:space="preserve">contratação direta, por enquadrar-se na hipótese de Inexigibilidade de Licitação trazida pelo artigo 25, II, da Lei n° 8.666, de 1993, não existindo óbice para o prosseguimento do processo. </w:t>
      </w:r>
    </w:p>
    <w:p w14:paraId="51580EB2" w14:textId="77777777" w:rsidR="00FB1F63" w:rsidRDefault="00FB1F63" w:rsidP="00622577">
      <w:pPr>
        <w:jc w:val="both"/>
        <w:rPr>
          <w:rFonts w:ascii="Arial" w:hAnsi="Arial" w:cs="Arial"/>
        </w:rPr>
      </w:pPr>
      <w:r w:rsidRPr="00FB1F63">
        <w:rPr>
          <w:rFonts w:ascii="Arial" w:hAnsi="Arial" w:cs="Arial"/>
        </w:rPr>
        <w:t xml:space="preserve">Alertamos ainda que devem ser atendidas as condições elencadas no artigo 26 do mesmo diploma legal, como condição de eficácia dos atos realizados. </w:t>
      </w:r>
    </w:p>
    <w:p w14:paraId="3F209048" w14:textId="77777777" w:rsidR="007F7ADB" w:rsidRDefault="007F7ADB" w:rsidP="00622577">
      <w:pPr>
        <w:jc w:val="both"/>
        <w:rPr>
          <w:rFonts w:ascii="Arial" w:hAnsi="Arial" w:cs="Arial"/>
        </w:rPr>
      </w:pPr>
    </w:p>
    <w:p w14:paraId="663D0C15" w14:textId="4CBE6474" w:rsidR="00FB1F63" w:rsidRPr="00FB1F63" w:rsidRDefault="00FB1F63" w:rsidP="00622577">
      <w:pPr>
        <w:jc w:val="both"/>
        <w:rPr>
          <w:rFonts w:ascii="Arial" w:hAnsi="Arial" w:cs="Arial"/>
        </w:rPr>
      </w:pPr>
      <w:r w:rsidRPr="00FB1F63">
        <w:rPr>
          <w:rFonts w:ascii="Arial" w:hAnsi="Arial" w:cs="Arial"/>
        </w:rPr>
        <w:t>É o parecer.</w:t>
      </w:r>
    </w:p>
    <w:p w14:paraId="2DC340C4" w14:textId="5C57BA55" w:rsidR="00761285" w:rsidRPr="004B42CA" w:rsidRDefault="000F7E4C" w:rsidP="00622577">
      <w:pPr>
        <w:jc w:val="right"/>
        <w:rPr>
          <w:rFonts w:ascii="Arial" w:hAnsi="Arial" w:cs="Arial"/>
        </w:rPr>
      </w:pPr>
      <w:r w:rsidRPr="004B42CA">
        <w:rPr>
          <w:rFonts w:ascii="Arial" w:hAnsi="Arial" w:cs="Arial"/>
        </w:rPr>
        <w:t>Japorã</w:t>
      </w:r>
      <w:r w:rsidR="00761285" w:rsidRPr="004B42CA">
        <w:rPr>
          <w:rFonts w:ascii="Arial" w:hAnsi="Arial" w:cs="Arial"/>
        </w:rPr>
        <w:t xml:space="preserve">/MS, </w:t>
      </w:r>
      <w:r w:rsidR="00622577">
        <w:rPr>
          <w:rFonts w:ascii="Arial" w:hAnsi="Arial" w:cs="Arial"/>
        </w:rPr>
        <w:t>06 de outubro</w:t>
      </w:r>
      <w:r w:rsidR="00761285" w:rsidRPr="004B42CA">
        <w:rPr>
          <w:rFonts w:ascii="Arial" w:hAnsi="Arial" w:cs="Arial"/>
        </w:rPr>
        <w:t xml:space="preserve"> de 20</w:t>
      </w:r>
      <w:r w:rsidR="00BF63A9" w:rsidRPr="004B42CA">
        <w:rPr>
          <w:rFonts w:ascii="Arial" w:hAnsi="Arial" w:cs="Arial"/>
        </w:rPr>
        <w:t>20</w:t>
      </w:r>
      <w:r w:rsidR="00761285" w:rsidRPr="004B42CA">
        <w:rPr>
          <w:rFonts w:ascii="Arial" w:hAnsi="Arial" w:cs="Arial"/>
        </w:rPr>
        <w:t>.</w:t>
      </w:r>
    </w:p>
    <w:p w14:paraId="36987572" w14:textId="77777777" w:rsidR="00761285" w:rsidRPr="004B42CA" w:rsidRDefault="00761285" w:rsidP="004B42CA">
      <w:pPr>
        <w:jc w:val="both"/>
        <w:rPr>
          <w:rFonts w:ascii="Arial" w:hAnsi="Arial" w:cs="Arial"/>
        </w:rPr>
      </w:pPr>
    </w:p>
    <w:p w14:paraId="2F7A2715" w14:textId="77777777" w:rsidR="00761285" w:rsidRPr="004B42CA" w:rsidRDefault="00761285" w:rsidP="00622577">
      <w:pPr>
        <w:jc w:val="center"/>
        <w:rPr>
          <w:rFonts w:ascii="Arial" w:hAnsi="Arial" w:cs="Arial"/>
        </w:rPr>
      </w:pPr>
      <w:r w:rsidRPr="004B42CA">
        <w:rPr>
          <w:rFonts w:ascii="Arial" w:hAnsi="Arial" w:cs="Arial"/>
          <w:noProof/>
          <w:lang w:eastAsia="pt-BR"/>
        </w:rPr>
        <w:drawing>
          <wp:inline distT="0" distB="0" distL="0" distR="0" wp14:anchorId="1761D3BE" wp14:editId="1F04E9FB">
            <wp:extent cx="2819400"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62000"/>
                    </a:xfrm>
                    <a:prstGeom prst="rect">
                      <a:avLst/>
                    </a:prstGeom>
                    <a:noFill/>
                    <a:ln>
                      <a:noFill/>
                    </a:ln>
                  </pic:spPr>
                </pic:pic>
              </a:graphicData>
            </a:graphic>
          </wp:inline>
        </w:drawing>
      </w:r>
    </w:p>
    <w:p w14:paraId="7C3A2BF7" w14:textId="77777777" w:rsidR="00761285" w:rsidRPr="004B42CA" w:rsidRDefault="00761285" w:rsidP="00622577">
      <w:pPr>
        <w:jc w:val="center"/>
        <w:rPr>
          <w:rFonts w:ascii="Arial" w:hAnsi="Arial" w:cs="Arial"/>
        </w:rPr>
      </w:pPr>
      <w:r w:rsidRPr="004B42CA">
        <w:rPr>
          <w:rFonts w:ascii="Arial" w:hAnsi="Arial" w:cs="Arial"/>
        </w:rPr>
        <w:t xml:space="preserve">Marcelo </w:t>
      </w:r>
      <w:proofErr w:type="spellStart"/>
      <w:r w:rsidRPr="004B42CA">
        <w:rPr>
          <w:rFonts w:ascii="Arial" w:hAnsi="Arial" w:cs="Arial"/>
        </w:rPr>
        <w:t>Antonio</w:t>
      </w:r>
      <w:proofErr w:type="spellEnd"/>
      <w:r w:rsidRPr="004B42CA">
        <w:rPr>
          <w:rFonts w:ascii="Arial" w:hAnsi="Arial" w:cs="Arial"/>
        </w:rPr>
        <w:t xml:space="preserve"> </w:t>
      </w:r>
      <w:proofErr w:type="spellStart"/>
      <w:r w:rsidRPr="004B42CA">
        <w:rPr>
          <w:rFonts w:ascii="Arial" w:hAnsi="Arial" w:cs="Arial"/>
        </w:rPr>
        <w:t>Balduino</w:t>
      </w:r>
      <w:proofErr w:type="spellEnd"/>
    </w:p>
    <w:p w14:paraId="75E2C30D" w14:textId="55401875" w:rsidR="00212EE4" w:rsidRPr="004B42CA" w:rsidRDefault="00761285" w:rsidP="00622577">
      <w:pPr>
        <w:jc w:val="center"/>
        <w:rPr>
          <w:rFonts w:ascii="Arial" w:hAnsi="Arial" w:cs="Arial"/>
          <w:sz w:val="24"/>
          <w:szCs w:val="24"/>
        </w:rPr>
      </w:pPr>
      <w:r w:rsidRPr="004B42CA">
        <w:rPr>
          <w:rFonts w:ascii="Arial" w:hAnsi="Arial" w:cs="Arial"/>
        </w:rPr>
        <w:t>OAB/MS 9574</w:t>
      </w:r>
    </w:p>
    <w:sectPr w:rsidR="00212EE4" w:rsidRPr="004B42C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2C90" w14:textId="77777777" w:rsidR="00D422C0" w:rsidRDefault="00D422C0">
      <w:pPr>
        <w:spacing w:after="0" w:line="240" w:lineRule="auto"/>
      </w:pPr>
      <w:r>
        <w:separator/>
      </w:r>
    </w:p>
  </w:endnote>
  <w:endnote w:type="continuationSeparator" w:id="0">
    <w:p w14:paraId="52E17B8F" w14:textId="77777777" w:rsidR="00D422C0" w:rsidRDefault="00D4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9331F" w14:textId="77777777" w:rsidR="00D422C0" w:rsidRDefault="00D422C0">
      <w:pPr>
        <w:spacing w:after="0" w:line="240" w:lineRule="auto"/>
      </w:pPr>
      <w:r>
        <w:separator/>
      </w:r>
    </w:p>
  </w:footnote>
  <w:footnote w:type="continuationSeparator" w:id="0">
    <w:p w14:paraId="30CB795A" w14:textId="77777777" w:rsidR="00D422C0" w:rsidRDefault="00D4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38CC" w14:textId="61EF1BE5" w:rsidR="00354D19" w:rsidRDefault="00D422C0" w:rsidP="00C17A70">
    <w:pPr>
      <w:pStyle w:val="Cabealho"/>
      <w:jc w:val="center"/>
      <w:rPr>
        <w:noProof/>
      </w:rPr>
    </w:pPr>
  </w:p>
  <w:p w14:paraId="2D0DFCA8" w14:textId="77777777" w:rsidR="005048A4" w:rsidRDefault="005048A4" w:rsidP="00C17A70">
    <w:pPr>
      <w:pStyle w:val="Cabealho"/>
      <w:jc w:val="center"/>
      <w:rPr>
        <w:noProof/>
      </w:rPr>
    </w:pPr>
  </w:p>
  <w:p w14:paraId="0AD054DB" w14:textId="608213F5" w:rsidR="005048A4" w:rsidRDefault="005048A4" w:rsidP="00C17A70">
    <w:pPr>
      <w:pStyle w:val="Cabealho"/>
      <w:jc w:val="center"/>
      <w:rPr>
        <w:noProof/>
      </w:rPr>
    </w:pPr>
    <w:r w:rsidRPr="00EE4105">
      <w:rPr>
        <w:noProof/>
      </w:rPr>
      <w:drawing>
        <wp:inline distT="0" distB="0" distL="0" distR="0" wp14:anchorId="368D9845" wp14:editId="0E81B162">
          <wp:extent cx="5400040" cy="68247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2470"/>
                  </a:xfrm>
                  <a:prstGeom prst="rect">
                    <a:avLst/>
                  </a:prstGeom>
                  <a:noFill/>
                  <a:ln>
                    <a:noFill/>
                  </a:ln>
                </pic:spPr>
              </pic:pic>
            </a:graphicData>
          </a:graphic>
        </wp:inline>
      </w:drawing>
    </w:r>
  </w:p>
  <w:p w14:paraId="75541924" w14:textId="77777777" w:rsidR="005048A4" w:rsidRDefault="005048A4" w:rsidP="00C17A70">
    <w:pPr>
      <w:pStyle w:val="Cabealho"/>
      <w:jc w:val="center"/>
      <w:rPr>
        <w:noProof/>
      </w:rPr>
    </w:pPr>
  </w:p>
  <w:p w14:paraId="6B65AC3D" w14:textId="77777777" w:rsidR="005048A4" w:rsidRPr="00C17A70" w:rsidRDefault="005048A4" w:rsidP="00C17A7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50AC"/>
    <w:multiLevelType w:val="hybridMultilevel"/>
    <w:tmpl w:val="9B72FE24"/>
    <w:lvl w:ilvl="0" w:tplc="972847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5625BC"/>
    <w:multiLevelType w:val="multilevel"/>
    <w:tmpl w:val="8FF67278"/>
    <w:lvl w:ilvl="0">
      <w:start w:val="1"/>
      <w:numFmt w:val="decimal"/>
      <w:lvlText w:val="%1."/>
      <w:lvlJc w:val="left"/>
      <w:pPr>
        <w:ind w:left="390" w:hanging="390"/>
      </w:pPr>
      <w:rPr>
        <w:rFonts w:hint="default"/>
        <w:b/>
      </w:rPr>
    </w:lvl>
    <w:lvl w:ilvl="1">
      <w:start w:val="1"/>
      <w:numFmt w:val="decimal"/>
      <w:lvlText w:val="%2."/>
      <w:lvlJc w:val="left"/>
      <w:pPr>
        <w:ind w:left="2988" w:hanging="720"/>
      </w:pPr>
      <w:rPr>
        <w:rFonts w:ascii="Arial" w:eastAsia="Times New Roman" w:hAnsi="Arial" w:cs="Arial"/>
        <w:b/>
      </w:rPr>
    </w:lvl>
    <w:lvl w:ilvl="2">
      <w:start w:val="1"/>
      <w:numFmt w:val="decimal"/>
      <w:lvlText w:val="%1.%2.%3."/>
      <w:lvlJc w:val="left"/>
      <w:pPr>
        <w:ind w:left="5256" w:hanging="720"/>
      </w:pPr>
      <w:rPr>
        <w:rFonts w:hint="default"/>
        <w:b/>
      </w:rPr>
    </w:lvl>
    <w:lvl w:ilvl="3">
      <w:start w:val="1"/>
      <w:numFmt w:val="decimal"/>
      <w:lvlText w:val="%1.%2.%3.%4."/>
      <w:lvlJc w:val="left"/>
      <w:pPr>
        <w:ind w:left="7884" w:hanging="1080"/>
      </w:pPr>
      <w:rPr>
        <w:rFonts w:hint="default"/>
        <w:b/>
      </w:rPr>
    </w:lvl>
    <w:lvl w:ilvl="4">
      <w:start w:val="1"/>
      <w:numFmt w:val="decimal"/>
      <w:lvlText w:val="%1.%2.%3.%4.%5."/>
      <w:lvlJc w:val="left"/>
      <w:pPr>
        <w:ind w:left="10152" w:hanging="1080"/>
      </w:pPr>
      <w:rPr>
        <w:rFonts w:hint="default"/>
        <w:b/>
      </w:rPr>
    </w:lvl>
    <w:lvl w:ilvl="5">
      <w:start w:val="1"/>
      <w:numFmt w:val="decimal"/>
      <w:lvlText w:val="%1.%2.%3.%4.%5.%6."/>
      <w:lvlJc w:val="left"/>
      <w:pPr>
        <w:ind w:left="12780" w:hanging="1440"/>
      </w:pPr>
      <w:rPr>
        <w:rFonts w:hint="default"/>
        <w:b/>
      </w:rPr>
    </w:lvl>
    <w:lvl w:ilvl="6">
      <w:start w:val="1"/>
      <w:numFmt w:val="decimal"/>
      <w:lvlText w:val="%1.%2.%3.%4.%5.%6.%7."/>
      <w:lvlJc w:val="left"/>
      <w:pPr>
        <w:ind w:left="15048" w:hanging="1440"/>
      </w:pPr>
      <w:rPr>
        <w:rFonts w:hint="default"/>
        <w:b/>
      </w:rPr>
    </w:lvl>
    <w:lvl w:ilvl="7">
      <w:start w:val="1"/>
      <w:numFmt w:val="decimal"/>
      <w:lvlText w:val="%1.%2.%3.%4.%5.%6.%7.%8."/>
      <w:lvlJc w:val="left"/>
      <w:pPr>
        <w:ind w:left="17676" w:hanging="1800"/>
      </w:pPr>
      <w:rPr>
        <w:rFonts w:hint="default"/>
        <w:b/>
      </w:rPr>
    </w:lvl>
    <w:lvl w:ilvl="8">
      <w:start w:val="1"/>
      <w:numFmt w:val="decimal"/>
      <w:lvlText w:val="%1.%2.%3.%4.%5.%6.%7.%8.%9."/>
      <w:lvlJc w:val="left"/>
      <w:pPr>
        <w:ind w:left="20304" w:hanging="2160"/>
      </w:pPr>
      <w:rPr>
        <w:rFonts w:hint="default"/>
        <w:b/>
      </w:rPr>
    </w:lvl>
  </w:abstractNum>
  <w:abstractNum w:abstractNumId="2">
    <w:nsid w:val="172A4CB3"/>
    <w:multiLevelType w:val="hybridMultilevel"/>
    <w:tmpl w:val="CA6E8D5A"/>
    <w:lvl w:ilvl="0" w:tplc="C5086D9E">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28E80D6B"/>
    <w:multiLevelType w:val="multilevel"/>
    <w:tmpl w:val="8200CE90"/>
    <w:lvl w:ilvl="0">
      <w:start w:val="1"/>
      <w:numFmt w:val="decimal"/>
      <w:lvlText w:val="%1."/>
      <w:lvlJc w:val="left"/>
      <w:pPr>
        <w:ind w:left="2062" w:hanging="360"/>
      </w:pPr>
      <w:rPr>
        <w:rFonts w:hint="default"/>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5E467D80"/>
    <w:multiLevelType w:val="multilevel"/>
    <w:tmpl w:val="D99A9C7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6BE155BA"/>
    <w:multiLevelType w:val="multilevel"/>
    <w:tmpl w:val="0E0072CE"/>
    <w:lvl w:ilvl="0">
      <w:start w:val="2"/>
      <w:numFmt w:val="decimal"/>
      <w:lvlText w:val="%1."/>
      <w:lvlJc w:val="left"/>
      <w:pPr>
        <w:ind w:left="390" w:hanging="39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6183" w:hanging="108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945" w:hanging="144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707" w:hanging="1800"/>
      </w:pPr>
      <w:rPr>
        <w:rFonts w:hint="default"/>
        <w:b/>
      </w:rPr>
    </w:lvl>
    <w:lvl w:ilvl="8">
      <w:start w:val="1"/>
      <w:numFmt w:val="decimal"/>
      <w:lvlText w:val="%1.%2.%3.%4.%5.%6.%7.%8.%9."/>
      <w:lvlJc w:val="left"/>
      <w:pPr>
        <w:ind w:left="15768" w:hanging="2160"/>
      </w:pPr>
      <w:rPr>
        <w:rFonts w:hint="default"/>
        <w:b/>
      </w:rPr>
    </w:lvl>
  </w:abstractNum>
  <w:abstractNum w:abstractNumId="6">
    <w:nsid w:val="71FD3E5A"/>
    <w:multiLevelType w:val="hybridMultilevel"/>
    <w:tmpl w:val="1BD65588"/>
    <w:lvl w:ilvl="0" w:tplc="49CA4F1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CE123EA"/>
    <w:multiLevelType w:val="hybridMultilevel"/>
    <w:tmpl w:val="0BB09F8C"/>
    <w:lvl w:ilvl="0" w:tplc="29305C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E544E7"/>
    <w:multiLevelType w:val="hybridMultilevel"/>
    <w:tmpl w:val="3B9E74F8"/>
    <w:lvl w:ilvl="0" w:tplc="51825E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8A"/>
    <w:rsid w:val="00000395"/>
    <w:rsid w:val="0000419B"/>
    <w:rsid w:val="00012D8D"/>
    <w:rsid w:val="00024B95"/>
    <w:rsid w:val="00027D06"/>
    <w:rsid w:val="00031D40"/>
    <w:rsid w:val="00032E67"/>
    <w:rsid w:val="00037D55"/>
    <w:rsid w:val="00050C1F"/>
    <w:rsid w:val="000702DF"/>
    <w:rsid w:val="00074084"/>
    <w:rsid w:val="00082FE1"/>
    <w:rsid w:val="00085A44"/>
    <w:rsid w:val="00085C6E"/>
    <w:rsid w:val="00092B82"/>
    <w:rsid w:val="00095960"/>
    <w:rsid w:val="00096F7B"/>
    <w:rsid w:val="000A2D4A"/>
    <w:rsid w:val="000A52C6"/>
    <w:rsid w:val="000C4A7F"/>
    <w:rsid w:val="000D7A11"/>
    <w:rsid w:val="000E25A1"/>
    <w:rsid w:val="000E370B"/>
    <w:rsid w:val="000F7E4C"/>
    <w:rsid w:val="00103C08"/>
    <w:rsid w:val="00111D12"/>
    <w:rsid w:val="00113B2A"/>
    <w:rsid w:val="00115A5C"/>
    <w:rsid w:val="00115E86"/>
    <w:rsid w:val="001160A9"/>
    <w:rsid w:val="0011703B"/>
    <w:rsid w:val="0012031F"/>
    <w:rsid w:val="00126B8E"/>
    <w:rsid w:val="0013076E"/>
    <w:rsid w:val="001356F4"/>
    <w:rsid w:val="00135D43"/>
    <w:rsid w:val="00155775"/>
    <w:rsid w:val="00155ACE"/>
    <w:rsid w:val="00156823"/>
    <w:rsid w:val="00156D67"/>
    <w:rsid w:val="001748DB"/>
    <w:rsid w:val="001765FD"/>
    <w:rsid w:val="001805FC"/>
    <w:rsid w:val="00195230"/>
    <w:rsid w:val="0019566C"/>
    <w:rsid w:val="00196AFD"/>
    <w:rsid w:val="001A15D2"/>
    <w:rsid w:val="001A1AA7"/>
    <w:rsid w:val="001A5B69"/>
    <w:rsid w:val="001C20C1"/>
    <w:rsid w:val="001D04EE"/>
    <w:rsid w:val="001D0BFB"/>
    <w:rsid w:val="001F2508"/>
    <w:rsid w:val="001F772C"/>
    <w:rsid w:val="00203EBB"/>
    <w:rsid w:val="00212EE4"/>
    <w:rsid w:val="0021316D"/>
    <w:rsid w:val="002225A8"/>
    <w:rsid w:val="00223E16"/>
    <w:rsid w:val="002332E9"/>
    <w:rsid w:val="002459DC"/>
    <w:rsid w:val="002556DB"/>
    <w:rsid w:val="00272225"/>
    <w:rsid w:val="00275791"/>
    <w:rsid w:val="00280EA7"/>
    <w:rsid w:val="00282186"/>
    <w:rsid w:val="00292B47"/>
    <w:rsid w:val="00294E7B"/>
    <w:rsid w:val="002A19E1"/>
    <w:rsid w:val="002A4FF9"/>
    <w:rsid w:val="002B428D"/>
    <w:rsid w:val="002B5BE2"/>
    <w:rsid w:val="002B5F58"/>
    <w:rsid w:val="002C158F"/>
    <w:rsid w:val="002C25F8"/>
    <w:rsid w:val="002C30A7"/>
    <w:rsid w:val="002C4B71"/>
    <w:rsid w:val="002C520F"/>
    <w:rsid w:val="002C5AE2"/>
    <w:rsid w:val="002E0754"/>
    <w:rsid w:val="002E4B89"/>
    <w:rsid w:val="002E6FD9"/>
    <w:rsid w:val="002F48D2"/>
    <w:rsid w:val="002F6E7A"/>
    <w:rsid w:val="00305905"/>
    <w:rsid w:val="00306BC8"/>
    <w:rsid w:val="00312F60"/>
    <w:rsid w:val="00326601"/>
    <w:rsid w:val="00327E20"/>
    <w:rsid w:val="00334448"/>
    <w:rsid w:val="0034002C"/>
    <w:rsid w:val="003717C5"/>
    <w:rsid w:val="003774B5"/>
    <w:rsid w:val="00393DE2"/>
    <w:rsid w:val="003C03F6"/>
    <w:rsid w:val="003C20DD"/>
    <w:rsid w:val="003C2175"/>
    <w:rsid w:val="003D0E13"/>
    <w:rsid w:val="003E1459"/>
    <w:rsid w:val="003E22A6"/>
    <w:rsid w:val="003E4BEC"/>
    <w:rsid w:val="003F3438"/>
    <w:rsid w:val="003F3A6F"/>
    <w:rsid w:val="003F63D0"/>
    <w:rsid w:val="003F7675"/>
    <w:rsid w:val="004046AA"/>
    <w:rsid w:val="0041312B"/>
    <w:rsid w:val="00420239"/>
    <w:rsid w:val="00425919"/>
    <w:rsid w:val="00435367"/>
    <w:rsid w:val="00440C47"/>
    <w:rsid w:val="00447F8E"/>
    <w:rsid w:val="00470CB0"/>
    <w:rsid w:val="00473586"/>
    <w:rsid w:val="004768CD"/>
    <w:rsid w:val="004848F0"/>
    <w:rsid w:val="00484A3E"/>
    <w:rsid w:val="00490599"/>
    <w:rsid w:val="00496D6F"/>
    <w:rsid w:val="004A2170"/>
    <w:rsid w:val="004A56D5"/>
    <w:rsid w:val="004B42CA"/>
    <w:rsid w:val="004C0156"/>
    <w:rsid w:val="004D2BAA"/>
    <w:rsid w:val="004D30B3"/>
    <w:rsid w:val="004D6C3B"/>
    <w:rsid w:val="004E0990"/>
    <w:rsid w:val="005048A4"/>
    <w:rsid w:val="0051149E"/>
    <w:rsid w:val="00512F28"/>
    <w:rsid w:val="00522B9F"/>
    <w:rsid w:val="00531057"/>
    <w:rsid w:val="00554804"/>
    <w:rsid w:val="005703E0"/>
    <w:rsid w:val="00574072"/>
    <w:rsid w:val="00590439"/>
    <w:rsid w:val="00590F19"/>
    <w:rsid w:val="00593461"/>
    <w:rsid w:val="00595D69"/>
    <w:rsid w:val="0059733D"/>
    <w:rsid w:val="005A2D37"/>
    <w:rsid w:val="005B02F9"/>
    <w:rsid w:val="005B29D5"/>
    <w:rsid w:val="005C67CB"/>
    <w:rsid w:val="005D3237"/>
    <w:rsid w:val="005E0519"/>
    <w:rsid w:val="005E42EF"/>
    <w:rsid w:val="005F3B69"/>
    <w:rsid w:val="005F41BF"/>
    <w:rsid w:val="00602061"/>
    <w:rsid w:val="006020BB"/>
    <w:rsid w:val="00605AFF"/>
    <w:rsid w:val="00613097"/>
    <w:rsid w:val="00613F06"/>
    <w:rsid w:val="006143B8"/>
    <w:rsid w:val="00617051"/>
    <w:rsid w:val="00617862"/>
    <w:rsid w:val="006204BA"/>
    <w:rsid w:val="00622577"/>
    <w:rsid w:val="00624A78"/>
    <w:rsid w:val="006363A0"/>
    <w:rsid w:val="006445EB"/>
    <w:rsid w:val="00644AEF"/>
    <w:rsid w:val="00654FCD"/>
    <w:rsid w:val="00657381"/>
    <w:rsid w:val="006573FA"/>
    <w:rsid w:val="00664B25"/>
    <w:rsid w:val="006738A9"/>
    <w:rsid w:val="0067660D"/>
    <w:rsid w:val="00683010"/>
    <w:rsid w:val="006A0AE2"/>
    <w:rsid w:val="006A1D52"/>
    <w:rsid w:val="006A3847"/>
    <w:rsid w:val="006B16B7"/>
    <w:rsid w:val="006C1078"/>
    <w:rsid w:val="006D500D"/>
    <w:rsid w:val="006D603A"/>
    <w:rsid w:val="006D6A37"/>
    <w:rsid w:val="006E662D"/>
    <w:rsid w:val="006E6BC7"/>
    <w:rsid w:val="006F08B9"/>
    <w:rsid w:val="00702199"/>
    <w:rsid w:val="007067BB"/>
    <w:rsid w:val="007262C1"/>
    <w:rsid w:val="00730E61"/>
    <w:rsid w:val="007346B2"/>
    <w:rsid w:val="00734F68"/>
    <w:rsid w:val="00742017"/>
    <w:rsid w:val="007504FF"/>
    <w:rsid w:val="00761285"/>
    <w:rsid w:val="0076686B"/>
    <w:rsid w:val="00771D26"/>
    <w:rsid w:val="0077297E"/>
    <w:rsid w:val="00772C0C"/>
    <w:rsid w:val="00772EE0"/>
    <w:rsid w:val="0077386A"/>
    <w:rsid w:val="00781E99"/>
    <w:rsid w:val="00783E35"/>
    <w:rsid w:val="00792CD5"/>
    <w:rsid w:val="007B06CA"/>
    <w:rsid w:val="007C1FDE"/>
    <w:rsid w:val="007D43E9"/>
    <w:rsid w:val="007E2285"/>
    <w:rsid w:val="007E260E"/>
    <w:rsid w:val="007F0AED"/>
    <w:rsid w:val="007F1B1E"/>
    <w:rsid w:val="007F7ADB"/>
    <w:rsid w:val="00803272"/>
    <w:rsid w:val="0081441A"/>
    <w:rsid w:val="0082794F"/>
    <w:rsid w:val="00830991"/>
    <w:rsid w:val="00834C20"/>
    <w:rsid w:val="00841F00"/>
    <w:rsid w:val="00847D40"/>
    <w:rsid w:val="00851309"/>
    <w:rsid w:val="00860E22"/>
    <w:rsid w:val="0086445E"/>
    <w:rsid w:val="008722E5"/>
    <w:rsid w:val="00886668"/>
    <w:rsid w:val="00886B4E"/>
    <w:rsid w:val="00887CF1"/>
    <w:rsid w:val="00895414"/>
    <w:rsid w:val="008A2919"/>
    <w:rsid w:val="008D0A6D"/>
    <w:rsid w:val="008D1FA6"/>
    <w:rsid w:val="008D337C"/>
    <w:rsid w:val="008F601E"/>
    <w:rsid w:val="008F62E8"/>
    <w:rsid w:val="008F6792"/>
    <w:rsid w:val="00900A8D"/>
    <w:rsid w:val="00903117"/>
    <w:rsid w:val="00907E3A"/>
    <w:rsid w:val="009257DB"/>
    <w:rsid w:val="009353E7"/>
    <w:rsid w:val="00940F38"/>
    <w:rsid w:val="0094388F"/>
    <w:rsid w:val="009438E3"/>
    <w:rsid w:val="00944562"/>
    <w:rsid w:val="00974B52"/>
    <w:rsid w:val="00980E01"/>
    <w:rsid w:val="0098198A"/>
    <w:rsid w:val="0098295E"/>
    <w:rsid w:val="00985FDA"/>
    <w:rsid w:val="009A6DC6"/>
    <w:rsid w:val="009B7AD2"/>
    <w:rsid w:val="009E00EF"/>
    <w:rsid w:val="009E3965"/>
    <w:rsid w:val="009F7521"/>
    <w:rsid w:val="00A007AA"/>
    <w:rsid w:val="00A059D0"/>
    <w:rsid w:val="00A14DEA"/>
    <w:rsid w:val="00A32B04"/>
    <w:rsid w:val="00A41681"/>
    <w:rsid w:val="00A46BC3"/>
    <w:rsid w:val="00A768D9"/>
    <w:rsid w:val="00A83B2A"/>
    <w:rsid w:val="00A85A21"/>
    <w:rsid w:val="00A862C3"/>
    <w:rsid w:val="00A923E3"/>
    <w:rsid w:val="00AA3E98"/>
    <w:rsid w:val="00AA5E71"/>
    <w:rsid w:val="00AA659E"/>
    <w:rsid w:val="00AB73F1"/>
    <w:rsid w:val="00AD2377"/>
    <w:rsid w:val="00AD7A7B"/>
    <w:rsid w:val="00AE4F49"/>
    <w:rsid w:val="00AE6BE0"/>
    <w:rsid w:val="00AE70AA"/>
    <w:rsid w:val="00AF76D4"/>
    <w:rsid w:val="00B01BF9"/>
    <w:rsid w:val="00B01D45"/>
    <w:rsid w:val="00B06233"/>
    <w:rsid w:val="00B079F9"/>
    <w:rsid w:val="00B11276"/>
    <w:rsid w:val="00B26E46"/>
    <w:rsid w:val="00B40F03"/>
    <w:rsid w:val="00B41E9E"/>
    <w:rsid w:val="00B4214B"/>
    <w:rsid w:val="00B43256"/>
    <w:rsid w:val="00B56A74"/>
    <w:rsid w:val="00B6218B"/>
    <w:rsid w:val="00B82EA2"/>
    <w:rsid w:val="00B9080B"/>
    <w:rsid w:val="00B97DCA"/>
    <w:rsid w:val="00BA0167"/>
    <w:rsid w:val="00BB01BE"/>
    <w:rsid w:val="00BB2D1E"/>
    <w:rsid w:val="00BB31CC"/>
    <w:rsid w:val="00BD702A"/>
    <w:rsid w:val="00BE5027"/>
    <w:rsid w:val="00BF5AEA"/>
    <w:rsid w:val="00BF63A9"/>
    <w:rsid w:val="00C00C2A"/>
    <w:rsid w:val="00C14817"/>
    <w:rsid w:val="00C314B9"/>
    <w:rsid w:val="00C33251"/>
    <w:rsid w:val="00C53673"/>
    <w:rsid w:val="00C65012"/>
    <w:rsid w:val="00C70483"/>
    <w:rsid w:val="00C75F43"/>
    <w:rsid w:val="00C94C32"/>
    <w:rsid w:val="00CA0291"/>
    <w:rsid w:val="00CA0977"/>
    <w:rsid w:val="00CB2C0A"/>
    <w:rsid w:val="00CB647B"/>
    <w:rsid w:val="00CC0D74"/>
    <w:rsid w:val="00CC2E61"/>
    <w:rsid w:val="00CC3629"/>
    <w:rsid w:val="00CC4453"/>
    <w:rsid w:val="00CD3ADC"/>
    <w:rsid w:val="00CE34F8"/>
    <w:rsid w:val="00CE75D9"/>
    <w:rsid w:val="00CF02AE"/>
    <w:rsid w:val="00CF0817"/>
    <w:rsid w:val="00CF0BCF"/>
    <w:rsid w:val="00CF3CB0"/>
    <w:rsid w:val="00D015FF"/>
    <w:rsid w:val="00D07506"/>
    <w:rsid w:val="00D165E9"/>
    <w:rsid w:val="00D1700C"/>
    <w:rsid w:val="00D30F0A"/>
    <w:rsid w:val="00D364EC"/>
    <w:rsid w:val="00D407B1"/>
    <w:rsid w:val="00D422C0"/>
    <w:rsid w:val="00D44474"/>
    <w:rsid w:val="00D45118"/>
    <w:rsid w:val="00D46945"/>
    <w:rsid w:val="00D532EB"/>
    <w:rsid w:val="00D55BAE"/>
    <w:rsid w:val="00D606A9"/>
    <w:rsid w:val="00D71ED8"/>
    <w:rsid w:val="00D76F49"/>
    <w:rsid w:val="00D83080"/>
    <w:rsid w:val="00D859B7"/>
    <w:rsid w:val="00D917A9"/>
    <w:rsid w:val="00DA3218"/>
    <w:rsid w:val="00DB57CA"/>
    <w:rsid w:val="00DB66F4"/>
    <w:rsid w:val="00DB6E20"/>
    <w:rsid w:val="00DB6E40"/>
    <w:rsid w:val="00DC3CBC"/>
    <w:rsid w:val="00DC6AB4"/>
    <w:rsid w:val="00DD25F0"/>
    <w:rsid w:val="00DD5410"/>
    <w:rsid w:val="00DD6C58"/>
    <w:rsid w:val="00DE1E91"/>
    <w:rsid w:val="00DF3344"/>
    <w:rsid w:val="00DF6DBF"/>
    <w:rsid w:val="00E02C00"/>
    <w:rsid w:val="00E23AD3"/>
    <w:rsid w:val="00E261B0"/>
    <w:rsid w:val="00E37226"/>
    <w:rsid w:val="00E409FA"/>
    <w:rsid w:val="00E46056"/>
    <w:rsid w:val="00E460AF"/>
    <w:rsid w:val="00E73E0A"/>
    <w:rsid w:val="00E81651"/>
    <w:rsid w:val="00E91B52"/>
    <w:rsid w:val="00EB128F"/>
    <w:rsid w:val="00EB2F8B"/>
    <w:rsid w:val="00EB60DF"/>
    <w:rsid w:val="00EC31AE"/>
    <w:rsid w:val="00EC373D"/>
    <w:rsid w:val="00ED39C9"/>
    <w:rsid w:val="00EF02D3"/>
    <w:rsid w:val="00F01DE9"/>
    <w:rsid w:val="00F21042"/>
    <w:rsid w:val="00F267A8"/>
    <w:rsid w:val="00F43975"/>
    <w:rsid w:val="00F54891"/>
    <w:rsid w:val="00F7022B"/>
    <w:rsid w:val="00F74D8A"/>
    <w:rsid w:val="00F83CF0"/>
    <w:rsid w:val="00F871E3"/>
    <w:rsid w:val="00F93A7D"/>
    <w:rsid w:val="00F94B8A"/>
    <w:rsid w:val="00FA1AF4"/>
    <w:rsid w:val="00FB1F63"/>
    <w:rsid w:val="00FB26A9"/>
    <w:rsid w:val="00FB2EC8"/>
    <w:rsid w:val="00FB3409"/>
    <w:rsid w:val="00FB70EB"/>
    <w:rsid w:val="00FC0AED"/>
    <w:rsid w:val="00FC4DA6"/>
    <w:rsid w:val="00FD1BE8"/>
    <w:rsid w:val="00FD5659"/>
    <w:rsid w:val="00FD7199"/>
    <w:rsid w:val="00FE2286"/>
    <w:rsid w:val="00FE39E5"/>
    <w:rsid w:val="00FE3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3915"/>
  <w15:docId w15:val="{CC26C0E4-E60F-49D5-B037-2CDC923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AA65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AA659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74D8A"/>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rsid w:val="00F74D8A"/>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74D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4D8A"/>
    <w:rPr>
      <w:rFonts w:ascii="Tahoma" w:hAnsi="Tahoma" w:cs="Tahoma"/>
      <w:sz w:val="16"/>
      <w:szCs w:val="16"/>
    </w:rPr>
  </w:style>
  <w:style w:type="paragraph" w:styleId="SemEspaamento">
    <w:name w:val="No Spacing"/>
    <w:uiPriority w:val="1"/>
    <w:qFormat/>
    <w:rsid w:val="00FD7199"/>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D170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55775"/>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aliases w:val=" Char,Char,Char Char Char Char,Char Char Char Char Char"/>
    <w:basedOn w:val="Normal"/>
    <w:link w:val="TextodenotaderodapChar"/>
    <w:uiPriority w:val="99"/>
    <w:unhideWhenUsed/>
    <w:rsid w:val="004768CD"/>
    <w:pPr>
      <w:spacing w:after="0" w:line="240" w:lineRule="auto"/>
    </w:pPr>
    <w:rPr>
      <w:rFonts w:ascii="Calibri" w:eastAsia="Calibri" w:hAnsi="Calibri" w:cs="Times New Roman"/>
      <w:sz w:val="20"/>
      <w:szCs w:val="20"/>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4768CD"/>
    <w:rPr>
      <w:rFonts w:ascii="Calibri" w:eastAsia="Calibri" w:hAnsi="Calibri" w:cs="Times New Roman"/>
      <w:sz w:val="20"/>
      <w:szCs w:val="20"/>
    </w:rPr>
  </w:style>
  <w:style w:type="character" w:styleId="Refdenotaderodap">
    <w:name w:val="footnote reference"/>
    <w:basedOn w:val="Fontepargpadro"/>
    <w:uiPriority w:val="99"/>
    <w:unhideWhenUsed/>
    <w:rsid w:val="004768CD"/>
    <w:rPr>
      <w:vertAlign w:val="superscript"/>
    </w:rPr>
  </w:style>
  <w:style w:type="character" w:customStyle="1" w:styleId="apple-converted-space">
    <w:name w:val="apple-converted-space"/>
    <w:basedOn w:val="Fontepargpadro"/>
    <w:rsid w:val="004768CD"/>
  </w:style>
  <w:style w:type="character" w:styleId="Hyperlink">
    <w:name w:val="Hyperlink"/>
    <w:basedOn w:val="Fontepargpadro"/>
    <w:uiPriority w:val="99"/>
    <w:semiHidden/>
    <w:unhideWhenUsed/>
    <w:rsid w:val="004768CD"/>
    <w:rPr>
      <w:color w:val="0000FF"/>
      <w:u w:val="single"/>
    </w:rPr>
  </w:style>
  <w:style w:type="paragraph" w:styleId="PargrafodaLista">
    <w:name w:val="List Paragraph"/>
    <w:basedOn w:val="Normal"/>
    <w:uiPriority w:val="34"/>
    <w:qFormat/>
    <w:rsid w:val="00CF02AE"/>
    <w:pPr>
      <w:ind w:left="720"/>
      <w:contextualSpacing/>
    </w:pPr>
  </w:style>
  <w:style w:type="character" w:customStyle="1" w:styleId="Ttulo3Char">
    <w:name w:val="Título 3 Char"/>
    <w:basedOn w:val="Fontepargpadro"/>
    <w:link w:val="Ttulo3"/>
    <w:uiPriority w:val="9"/>
    <w:rsid w:val="00AA659E"/>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AA659E"/>
    <w:rPr>
      <w:b/>
      <w:bCs/>
    </w:rPr>
  </w:style>
  <w:style w:type="character" w:customStyle="1" w:styleId="Ttulo2Char">
    <w:name w:val="Título 2 Char"/>
    <w:basedOn w:val="Fontepargpadro"/>
    <w:link w:val="Ttulo2"/>
    <w:uiPriority w:val="9"/>
    <w:rsid w:val="00AA659E"/>
    <w:rPr>
      <w:rFonts w:asciiTheme="majorHAnsi" w:eastAsiaTheme="majorEastAsia" w:hAnsiTheme="majorHAnsi" w:cstheme="majorBidi"/>
      <w:color w:val="365F91" w:themeColor="accent1" w:themeShade="BF"/>
      <w:sz w:val="26"/>
      <w:szCs w:val="26"/>
    </w:rPr>
  </w:style>
  <w:style w:type="paragraph" w:customStyle="1" w:styleId="info">
    <w:name w:val="info"/>
    <w:basedOn w:val="Normal"/>
    <w:rsid w:val="00AA65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900A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1149E"/>
    <w:rPr>
      <w:i/>
      <w:iCs/>
    </w:rPr>
  </w:style>
  <w:style w:type="paragraph" w:styleId="Rodap">
    <w:name w:val="footer"/>
    <w:basedOn w:val="Normal"/>
    <w:link w:val="RodapChar"/>
    <w:uiPriority w:val="99"/>
    <w:unhideWhenUsed/>
    <w:rsid w:val="00CD3ADC"/>
    <w:pPr>
      <w:tabs>
        <w:tab w:val="center" w:pos="4252"/>
        <w:tab w:val="right" w:pos="8504"/>
      </w:tabs>
      <w:spacing w:after="0" w:line="240" w:lineRule="auto"/>
    </w:pPr>
  </w:style>
  <w:style w:type="character" w:customStyle="1" w:styleId="RodapChar">
    <w:name w:val="Rodapé Char"/>
    <w:basedOn w:val="Fontepargpadro"/>
    <w:link w:val="Rodap"/>
    <w:uiPriority w:val="99"/>
    <w:rsid w:val="00CD3ADC"/>
  </w:style>
  <w:style w:type="paragraph" w:styleId="Recuodecorpodetexto2">
    <w:name w:val="Body Text Indent 2"/>
    <w:basedOn w:val="Normal"/>
    <w:link w:val="Recuodecorpodetexto2Char"/>
    <w:uiPriority w:val="99"/>
    <w:unhideWhenUsed/>
    <w:rsid w:val="00761285"/>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761285"/>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34002C"/>
    <w:pPr>
      <w:spacing w:after="120"/>
    </w:pPr>
  </w:style>
  <w:style w:type="character" w:customStyle="1" w:styleId="CorpodetextoChar">
    <w:name w:val="Corpo de texto Char"/>
    <w:basedOn w:val="Fontepargpadro"/>
    <w:link w:val="Corpodetexto"/>
    <w:uiPriority w:val="99"/>
    <w:semiHidden/>
    <w:rsid w:val="0034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4032">
      <w:bodyDiv w:val="1"/>
      <w:marLeft w:val="0"/>
      <w:marRight w:val="0"/>
      <w:marTop w:val="0"/>
      <w:marBottom w:val="0"/>
      <w:divBdr>
        <w:top w:val="none" w:sz="0" w:space="0" w:color="auto"/>
        <w:left w:val="none" w:sz="0" w:space="0" w:color="auto"/>
        <w:bottom w:val="none" w:sz="0" w:space="0" w:color="auto"/>
        <w:right w:val="none" w:sz="0" w:space="0" w:color="auto"/>
      </w:divBdr>
    </w:div>
    <w:div w:id="749691760">
      <w:bodyDiv w:val="1"/>
      <w:marLeft w:val="0"/>
      <w:marRight w:val="0"/>
      <w:marTop w:val="0"/>
      <w:marBottom w:val="0"/>
      <w:divBdr>
        <w:top w:val="none" w:sz="0" w:space="0" w:color="auto"/>
        <w:left w:val="none" w:sz="0" w:space="0" w:color="auto"/>
        <w:bottom w:val="none" w:sz="0" w:space="0" w:color="auto"/>
        <w:right w:val="none" w:sz="0" w:space="0" w:color="auto"/>
      </w:divBdr>
      <w:divsChild>
        <w:div w:id="472328486">
          <w:marLeft w:val="0"/>
          <w:marRight w:val="0"/>
          <w:marTop w:val="0"/>
          <w:marBottom w:val="0"/>
          <w:divBdr>
            <w:top w:val="none" w:sz="0" w:space="0" w:color="auto"/>
            <w:left w:val="none" w:sz="0" w:space="0" w:color="auto"/>
            <w:bottom w:val="none" w:sz="0" w:space="0" w:color="auto"/>
            <w:right w:val="none" w:sz="0" w:space="0" w:color="auto"/>
          </w:divBdr>
          <w:divsChild>
            <w:div w:id="2144231865">
              <w:marLeft w:val="0"/>
              <w:marRight w:val="0"/>
              <w:marTop w:val="0"/>
              <w:marBottom w:val="0"/>
              <w:divBdr>
                <w:top w:val="none" w:sz="0" w:space="0" w:color="auto"/>
                <w:left w:val="none" w:sz="0" w:space="0" w:color="auto"/>
                <w:bottom w:val="none" w:sz="0" w:space="0" w:color="auto"/>
                <w:right w:val="none" w:sz="0" w:space="0" w:color="auto"/>
              </w:divBdr>
              <w:divsChild>
                <w:div w:id="1313947636">
                  <w:marLeft w:val="0"/>
                  <w:marRight w:val="0"/>
                  <w:marTop w:val="0"/>
                  <w:marBottom w:val="0"/>
                  <w:divBdr>
                    <w:top w:val="none" w:sz="0" w:space="0" w:color="auto"/>
                    <w:left w:val="none" w:sz="0" w:space="0" w:color="auto"/>
                    <w:bottom w:val="none" w:sz="0" w:space="0" w:color="auto"/>
                    <w:right w:val="none" w:sz="0" w:space="0" w:color="auto"/>
                  </w:divBdr>
                  <w:divsChild>
                    <w:div w:id="1429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4096">
      <w:bodyDiv w:val="1"/>
      <w:marLeft w:val="0"/>
      <w:marRight w:val="0"/>
      <w:marTop w:val="0"/>
      <w:marBottom w:val="0"/>
      <w:divBdr>
        <w:top w:val="none" w:sz="0" w:space="0" w:color="auto"/>
        <w:left w:val="none" w:sz="0" w:space="0" w:color="auto"/>
        <w:bottom w:val="none" w:sz="0" w:space="0" w:color="auto"/>
        <w:right w:val="none" w:sz="0" w:space="0" w:color="auto"/>
      </w:divBdr>
      <w:divsChild>
        <w:div w:id="1419014673">
          <w:marLeft w:val="0"/>
          <w:marRight w:val="0"/>
          <w:marTop w:val="0"/>
          <w:marBottom w:val="0"/>
          <w:divBdr>
            <w:top w:val="none" w:sz="0" w:space="0" w:color="auto"/>
            <w:left w:val="none" w:sz="0" w:space="0" w:color="auto"/>
            <w:bottom w:val="none" w:sz="0" w:space="0" w:color="auto"/>
            <w:right w:val="none" w:sz="0" w:space="0" w:color="auto"/>
          </w:divBdr>
          <w:divsChild>
            <w:div w:id="1844314197">
              <w:marLeft w:val="0"/>
              <w:marRight w:val="0"/>
              <w:marTop w:val="0"/>
              <w:marBottom w:val="0"/>
              <w:divBdr>
                <w:top w:val="none" w:sz="0" w:space="0" w:color="auto"/>
                <w:left w:val="none" w:sz="0" w:space="0" w:color="auto"/>
                <w:bottom w:val="none" w:sz="0" w:space="0" w:color="auto"/>
                <w:right w:val="none" w:sz="0" w:space="0" w:color="auto"/>
              </w:divBdr>
              <w:divsChild>
                <w:div w:id="268051201">
                  <w:marLeft w:val="0"/>
                  <w:marRight w:val="0"/>
                  <w:marTop w:val="0"/>
                  <w:marBottom w:val="0"/>
                  <w:divBdr>
                    <w:top w:val="none" w:sz="0" w:space="0" w:color="auto"/>
                    <w:left w:val="none" w:sz="0" w:space="0" w:color="auto"/>
                    <w:bottom w:val="none" w:sz="0" w:space="0" w:color="auto"/>
                    <w:right w:val="none" w:sz="0" w:space="0" w:color="auto"/>
                  </w:divBdr>
                  <w:divsChild>
                    <w:div w:id="18748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59298">
      <w:bodyDiv w:val="1"/>
      <w:marLeft w:val="0"/>
      <w:marRight w:val="0"/>
      <w:marTop w:val="0"/>
      <w:marBottom w:val="0"/>
      <w:divBdr>
        <w:top w:val="none" w:sz="0" w:space="0" w:color="auto"/>
        <w:left w:val="none" w:sz="0" w:space="0" w:color="auto"/>
        <w:bottom w:val="none" w:sz="0" w:space="0" w:color="auto"/>
        <w:right w:val="none" w:sz="0" w:space="0" w:color="auto"/>
      </w:divBdr>
    </w:div>
    <w:div w:id="1701008876">
      <w:bodyDiv w:val="1"/>
      <w:marLeft w:val="0"/>
      <w:marRight w:val="0"/>
      <w:marTop w:val="0"/>
      <w:marBottom w:val="0"/>
      <w:divBdr>
        <w:top w:val="none" w:sz="0" w:space="0" w:color="auto"/>
        <w:left w:val="none" w:sz="0" w:space="0" w:color="auto"/>
        <w:bottom w:val="none" w:sz="0" w:space="0" w:color="auto"/>
        <w:right w:val="none" w:sz="0" w:space="0" w:color="auto"/>
      </w:divBdr>
    </w:div>
    <w:div w:id="1753893784">
      <w:bodyDiv w:val="1"/>
      <w:marLeft w:val="0"/>
      <w:marRight w:val="0"/>
      <w:marTop w:val="0"/>
      <w:marBottom w:val="0"/>
      <w:divBdr>
        <w:top w:val="none" w:sz="0" w:space="0" w:color="auto"/>
        <w:left w:val="none" w:sz="0" w:space="0" w:color="auto"/>
        <w:bottom w:val="none" w:sz="0" w:space="0" w:color="auto"/>
        <w:right w:val="none" w:sz="0" w:space="0" w:color="auto"/>
      </w:divBdr>
    </w:div>
    <w:div w:id="1884974519">
      <w:bodyDiv w:val="1"/>
      <w:marLeft w:val="0"/>
      <w:marRight w:val="0"/>
      <w:marTop w:val="0"/>
      <w:marBottom w:val="0"/>
      <w:divBdr>
        <w:top w:val="none" w:sz="0" w:space="0" w:color="auto"/>
        <w:left w:val="none" w:sz="0" w:space="0" w:color="auto"/>
        <w:bottom w:val="none" w:sz="0" w:space="0" w:color="auto"/>
        <w:right w:val="none" w:sz="0" w:space="0" w:color="auto"/>
      </w:divBdr>
      <w:divsChild>
        <w:div w:id="1296837254">
          <w:marLeft w:val="0"/>
          <w:marRight w:val="0"/>
          <w:marTop w:val="0"/>
          <w:marBottom w:val="0"/>
          <w:divBdr>
            <w:top w:val="none" w:sz="0" w:space="0" w:color="auto"/>
            <w:left w:val="none" w:sz="0" w:space="0" w:color="auto"/>
            <w:bottom w:val="none" w:sz="0" w:space="0" w:color="auto"/>
            <w:right w:val="none" w:sz="0" w:space="0" w:color="auto"/>
          </w:divBdr>
        </w:div>
      </w:divsChild>
    </w:div>
    <w:div w:id="1901206330">
      <w:bodyDiv w:val="1"/>
      <w:marLeft w:val="0"/>
      <w:marRight w:val="0"/>
      <w:marTop w:val="0"/>
      <w:marBottom w:val="0"/>
      <w:divBdr>
        <w:top w:val="none" w:sz="0" w:space="0" w:color="auto"/>
        <w:left w:val="none" w:sz="0" w:space="0" w:color="auto"/>
        <w:bottom w:val="none" w:sz="0" w:space="0" w:color="auto"/>
        <w:right w:val="none" w:sz="0" w:space="0" w:color="auto"/>
      </w:divBdr>
      <w:divsChild>
        <w:div w:id="728499294">
          <w:marLeft w:val="0"/>
          <w:marRight w:val="0"/>
          <w:marTop w:val="0"/>
          <w:marBottom w:val="120"/>
          <w:divBdr>
            <w:top w:val="none" w:sz="0" w:space="0" w:color="auto"/>
            <w:left w:val="none" w:sz="0" w:space="0" w:color="auto"/>
            <w:bottom w:val="none" w:sz="0" w:space="0" w:color="auto"/>
            <w:right w:val="none" w:sz="0" w:space="0" w:color="auto"/>
          </w:divBdr>
          <w:divsChild>
            <w:div w:id="292489361">
              <w:marLeft w:val="0"/>
              <w:marRight w:val="0"/>
              <w:marTop w:val="0"/>
              <w:marBottom w:val="0"/>
              <w:divBdr>
                <w:top w:val="none" w:sz="0" w:space="0" w:color="auto"/>
                <w:left w:val="none" w:sz="0" w:space="0" w:color="auto"/>
                <w:bottom w:val="none" w:sz="0" w:space="0" w:color="auto"/>
                <w:right w:val="none" w:sz="0" w:space="0" w:color="auto"/>
              </w:divBdr>
            </w:div>
            <w:div w:id="447773255">
              <w:marLeft w:val="0"/>
              <w:marRight w:val="0"/>
              <w:marTop w:val="0"/>
              <w:marBottom w:val="0"/>
              <w:divBdr>
                <w:top w:val="none" w:sz="0" w:space="0" w:color="auto"/>
                <w:left w:val="none" w:sz="0" w:space="0" w:color="auto"/>
                <w:bottom w:val="none" w:sz="0" w:space="0" w:color="auto"/>
                <w:right w:val="none" w:sz="0" w:space="0" w:color="auto"/>
              </w:divBdr>
            </w:div>
          </w:divsChild>
        </w:div>
        <w:div w:id="978344721">
          <w:marLeft w:val="0"/>
          <w:marRight w:val="0"/>
          <w:marTop w:val="0"/>
          <w:marBottom w:val="120"/>
          <w:divBdr>
            <w:top w:val="none" w:sz="0" w:space="0" w:color="auto"/>
            <w:left w:val="none" w:sz="0" w:space="0" w:color="auto"/>
            <w:bottom w:val="none" w:sz="0" w:space="0" w:color="auto"/>
            <w:right w:val="none" w:sz="0" w:space="0" w:color="auto"/>
          </w:divBdr>
          <w:divsChild>
            <w:div w:id="606430234">
              <w:marLeft w:val="0"/>
              <w:marRight w:val="0"/>
              <w:marTop w:val="0"/>
              <w:marBottom w:val="0"/>
              <w:divBdr>
                <w:top w:val="none" w:sz="0" w:space="0" w:color="auto"/>
                <w:left w:val="none" w:sz="0" w:space="0" w:color="auto"/>
                <w:bottom w:val="none" w:sz="0" w:space="0" w:color="auto"/>
                <w:right w:val="none" w:sz="0" w:space="0" w:color="auto"/>
              </w:divBdr>
            </w:div>
            <w:div w:id="1504129863">
              <w:marLeft w:val="0"/>
              <w:marRight w:val="0"/>
              <w:marTop w:val="0"/>
              <w:marBottom w:val="0"/>
              <w:divBdr>
                <w:top w:val="none" w:sz="0" w:space="0" w:color="auto"/>
                <w:left w:val="none" w:sz="0" w:space="0" w:color="auto"/>
                <w:bottom w:val="none" w:sz="0" w:space="0" w:color="auto"/>
                <w:right w:val="none" w:sz="0" w:space="0" w:color="auto"/>
              </w:divBdr>
            </w:div>
          </w:divsChild>
        </w:div>
        <w:div w:id="936140558">
          <w:marLeft w:val="0"/>
          <w:marRight w:val="0"/>
          <w:marTop w:val="0"/>
          <w:marBottom w:val="120"/>
          <w:divBdr>
            <w:top w:val="none" w:sz="0" w:space="0" w:color="auto"/>
            <w:left w:val="none" w:sz="0" w:space="0" w:color="auto"/>
            <w:bottom w:val="none" w:sz="0" w:space="0" w:color="auto"/>
            <w:right w:val="none" w:sz="0" w:space="0" w:color="auto"/>
          </w:divBdr>
          <w:divsChild>
            <w:div w:id="1182352945">
              <w:marLeft w:val="0"/>
              <w:marRight w:val="0"/>
              <w:marTop w:val="0"/>
              <w:marBottom w:val="0"/>
              <w:divBdr>
                <w:top w:val="none" w:sz="0" w:space="0" w:color="auto"/>
                <w:left w:val="none" w:sz="0" w:space="0" w:color="auto"/>
                <w:bottom w:val="none" w:sz="0" w:space="0" w:color="auto"/>
                <w:right w:val="none" w:sz="0" w:space="0" w:color="auto"/>
              </w:divBdr>
            </w:div>
            <w:div w:id="1367676677">
              <w:marLeft w:val="0"/>
              <w:marRight w:val="0"/>
              <w:marTop w:val="0"/>
              <w:marBottom w:val="0"/>
              <w:divBdr>
                <w:top w:val="none" w:sz="0" w:space="0" w:color="auto"/>
                <w:left w:val="none" w:sz="0" w:space="0" w:color="auto"/>
                <w:bottom w:val="none" w:sz="0" w:space="0" w:color="auto"/>
                <w:right w:val="none" w:sz="0" w:space="0" w:color="auto"/>
              </w:divBdr>
            </w:div>
          </w:divsChild>
        </w:div>
        <w:div w:id="48462184">
          <w:marLeft w:val="0"/>
          <w:marRight w:val="0"/>
          <w:marTop w:val="0"/>
          <w:marBottom w:val="120"/>
          <w:divBdr>
            <w:top w:val="none" w:sz="0" w:space="0" w:color="auto"/>
            <w:left w:val="none" w:sz="0" w:space="0" w:color="auto"/>
            <w:bottom w:val="none" w:sz="0" w:space="0" w:color="auto"/>
            <w:right w:val="none" w:sz="0" w:space="0" w:color="auto"/>
          </w:divBdr>
          <w:divsChild>
            <w:div w:id="1328097149">
              <w:marLeft w:val="0"/>
              <w:marRight w:val="0"/>
              <w:marTop w:val="0"/>
              <w:marBottom w:val="0"/>
              <w:divBdr>
                <w:top w:val="none" w:sz="0" w:space="0" w:color="auto"/>
                <w:left w:val="none" w:sz="0" w:space="0" w:color="auto"/>
                <w:bottom w:val="none" w:sz="0" w:space="0" w:color="auto"/>
                <w:right w:val="none" w:sz="0" w:space="0" w:color="auto"/>
              </w:divBdr>
            </w:div>
            <w:div w:id="187109744">
              <w:marLeft w:val="0"/>
              <w:marRight w:val="0"/>
              <w:marTop w:val="0"/>
              <w:marBottom w:val="0"/>
              <w:divBdr>
                <w:top w:val="none" w:sz="0" w:space="0" w:color="auto"/>
                <w:left w:val="none" w:sz="0" w:space="0" w:color="auto"/>
                <w:bottom w:val="none" w:sz="0" w:space="0" w:color="auto"/>
                <w:right w:val="none" w:sz="0" w:space="0" w:color="auto"/>
              </w:divBdr>
            </w:div>
          </w:divsChild>
        </w:div>
        <w:div w:id="314454703">
          <w:marLeft w:val="0"/>
          <w:marRight w:val="0"/>
          <w:marTop w:val="0"/>
          <w:marBottom w:val="0"/>
          <w:divBdr>
            <w:top w:val="none" w:sz="0" w:space="0" w:color="auto"/>
            <w:left w:val="none" w:sz="0" w:space="0" w:color="auto"/>
            <w:bottom w:val="none" w:sz="0" w:space="0" w:color="auto"/>
            <w:right w:val="none" w:sz="0" w:space="0" w:color="auto"/>
          </w:divBdr>
          <w:divsChild>
            <w:div w:id="1234706424">
              <w:marLeft w:val="0"/>
              <w:marRight w:val="0"/>
              <w:marTop w:val="0"/>
              <w:marBottom w:val="0"/>
              <w:divBdr>
                <w:top w:val="none" w:sz="0" w:space="0" w:color="auto"/>
                <w:left w:val="none" w:sz="0" w:space="0" w:color="auto"/>
                <w:bottom w:val="none" w:sz="0" w:space="0" w:color="auto"/>
                <w:right w:val="none" w:sz="0" w:space="0" w:color="auto"/>
              </w:divBdr>
            </w:div>
            <w:div w:id="14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2901">
      <w:bodyDiv w:val="1"/>
      <w:marLeft w:val="0"/>
      <w:marRight w:val="0"/>
      <w:marTop w:val="0"/>
      <w:marBottom w:val="0"/>
      <w:divBdr>
        <w:top w:val="none" w:sz="0" w:space="0" w:color="auto"/>
        <w:left w:val="none" w:sz="0" w:space="0" w:color="auto"/>
        <w:bottom w:val="none" w:sz="0" w:space="0" w:color="auto"/>
        <w:right w:val="none" w:sz="0" w:space="0" w:color="auto"/>
      </w:divBdr>
      <w:divsChild>
        <w:div w:id="1075083624">
          <w:marLeft w:val="0"/>
          <w:marRight w:val="0"/>
          <w:marTop w:val="0"/>
          <w:marBottom w:val="120"/>
          <w:divBdr>
            <w:top w:val="none" w:sz="0" w:space="0" w:color="auto"/>
            <w:left w:val="none" w:sz="0" w:space="0" w:color="auto"/>
            <w:bottom w:val="none" w:sz="0" w:space="0" w:color="auto"/>
            <w:right w:val="none" w:sz="0" w:space="0" w:color="auto"/>
          </w:divBdr>
          <w:divsChild>
            <w:div w:id="1276593360">
              <w:marLeft w:val="0"/>
              <w:marRight w:val="0"/>
              <w:marTop w:val="0"/>
              <w:marBottom w:val="0"/>
              <w:divBdr>
                <w:top w:val="none" w:sz="0" w:space="0" w:color="auto"/>
                <w:left w:val="none" w:sz="0" w:space="0" w:color="auto"/>
                <w:bottom w:val="none" w:sz="0" w:space="0" w:color="auto"/>
                <w:right w:val="none" w:sz="0" w:space="0" w:color="auto"/>
              </w:divBdr>
            </w:div>
            <w:div w:id="2113087499">
              <w:marLeft w:val="0"/>
              <w:marRight w:val="0"/>
              <w:marTop w:val="0"/>
              <w:marBottom w:val="0"/>
              <w:divBdr>
                <w:top w:val="none" w:sz="0" w:space="0" w:color="auto"/>
                <w:left w:val="none" w:sz="0" w:space="0" w:color="auto"/>
                <w:bottom w:val="none" w:sz="0" w:space="0" w:color="auto"/>
                <w:right w:val="none" w:sz="0" w:space="0" w:color="auto"/>
              </w:divBdr>
            </w:div>
          </w:divsChild>
        </w:div>
        <w:div w:id="1401830394">
          <w:marLeft w:val="0"/>
          <w:marRight w:val="0"/>
          <w:marTop w:val="0"/>
          <w:marBottom w:val="120"/>
          <w:divBdr>
            <w:top w:val="none" w:sz="0" w:space="0" w:color="auto"/>
            <w:left w:val="none" w:sz="0" w:space="0" w:color="auto"/>
            <w:bottom w:val="none" w:sz="0" w:space="0" w:color="auto"/>
            <w:right w:val="none" w:sz="0" w:space="0" w:color="auto"/>
          </w:divBdr>
          <w:divsChild>
            <w:div w:id="1020424904">
              <w:marLeft w:val="0"/>
              <w:marRight w:val="0"/>
              <w:marTop w:val="0"/>
              <w:marBottom w:val="0"/>
              <w:divBdr>
                <w:top w:val="none" w:sz="0" w:space="0" w:color="auto"/>
                <w:left w:val="none" w:sz="0" w:space="0" w:color="auto"/>
                <w:bottom w:val="none" w:sz="0" w:space="0" w:color="auto"/>
                <w:right w:val="none" w:sz="0" w:space="0" w:color="auto"/>
              </w:divBdr>
            </w:div>
            <w:div w:id="287198986">
              <w:marLeft w:val="0"/>
              <w:marRight w:val="0"/>
              <w:marTop w:val="0"/>
              <w:marBottom w:val="0"/>
              <w:divBdr>
                <w:top w:val="none" w:sz="0" w:space="0" w:color="auto"/>
                <w:left w:val="none" w:sz="0" w:space="0" w:color="auto"/>
                <w:bottom w:val="none" w:sz="0" w:space="0" w:color="auto"/>
                <w:right w:val="none" w:sz="0" w:space="0" w:color="auto"/>
              </w:divBdr>
            </w:div>
          </w:divsChild>
        </w:div>
        <w:div w:id="1835222282">
          <w:marLeft w:val="0"/>
          <w:marRight w:val="0"/>
          <w:marTop w:val="0"/>
          <w:marBottom w:val="120"/>
          <w:divBdr>
            <w:top w:val="none" w:sz="0" w:space="0" w:color="auto"/>
            <w:left w:val="none" w:sz="0" w:space="0" w:color="auto"/>
            <w:bottom w:val="none" w:sz="0" w:space="0" w:color="auto"/>
            <w:right w:val="none" w:sz="0" w:space="0" w:color="auto"/>
          </w:divBdr>
          <w:divsChild>
            <w:div w:id="208998511">
              <w:marLeft w:val="0"/>
              <w:marRight w:val="0"/>
              <w:marTop w:val="0"/>
              <w:marBottom w:val="0"/>
              <w:divBdr>
                <w:top w:val="none" w:sz="0" w:space="0" w:color="auto"/>
                <w:left w:val="none" w:sz="0" w:space="0" w:color="auto"/>
                <w:bottom w:val="none" w:sz="0" w:space="0" w:color="auto"/>
                <w:right w:val="none" w:sz="0" w:space="0" w:color="auto"/>
              </w:divBdr>
            </w:div>
            <w:div w:id="2002659507">
              <w:marLeft w:val="0"/>
              <w:marRight w:val="0"/>
              <w:marTop w:val="0"/>
              <w:marBottom w:val="0"/>
              <w:divBdr>
                <w:top w:val="none" w:sz="0" w:space="0" w:color="auto"/>
                <w:left w:val="none" w:sz="0" w:space="0" w:color="auto"/>
                <w:bottom w:val="none" w:sz="0" w:space="0" w:color="auto"/>
                <w:right w:val="none" w:sz="0" w:space="0" w:color="auto"/>
              </w:divBdr>
            </w:div>
          </w:divsChild>
        </w:div>
        <w:div w:id="1549609721">
          <w:marLeft w:val="0"/>
          <w:marRight w:val="0"/>
          <w:marTop w:val="0"/>
          <w:marBottom w:val="120"/>
          <w:divBdr>
            <w:top w:val="none" w:sz="0" w:space="0" w:color="auto"/>
            <w:left w:val="none" w:sz="0" w:space="0" w:color="auto"/>
            <w:bottom w:val="none" w:sz="0" w:space="0" w:color="auto"/>
            <w:right w:val="none" w:sz="0" w:space="0" w:color="auto"/>
          </w:divBdr>
          <w:divsChild>
            <w:div w:id="441339858">
              <w:marLeft w:val="0"/>
              <w:marRight w:val="0"/>
              <w:marTop w:val="0"/>
              <w:marBottom w:val="0"/>
              <w:divBdr>
                <w:top w:val="none" w:sz="0" w:space="0" w:color="auto"/>
                <w:left w:val="none" w:sz="0" w:space="0" w:color="auto"/>
                <w:bottom w:val="none" w:sz="0" w:space="0" w:color="auto"/>
                <w:right w:val="none" w:sz="0" w:space="0" w:color="auto"/>
              </w:divBdr>
            </w:div>
            <w:div w:id="1010640601">
              <w:marLeft w:val="0"/>
              <w:marRight w:val="0"/>
              <w:marTop w:val="0"/>
              <w:marBottom w:val="0"/>
              <w:divBdr>
                <w:top w:val="none" w:sz="0" w:space="0" w:color="auto"/>
                <w:left w:val="none" w:sz="0" w:space="0" w:color="auto"/>
                <w:bottom w:val="none" w:sz="0" w:space="0" w:color="auto"/>
                <w:right w:val="none" w:sz="0" w:space="0" w:color="auto"/>
              </w:divBdr>
            </w:div>
          </w:divsChild>
        </w:div>
        <w:div w:id="1014185658">
          <w:marLeft w:val="0"/>
          <w:marRight w:val="0"/>
          <w:marTop w:val="0"/>
          <w:marBottom w:val="0"/>
          <w:divBdr>
            <w:top w:val="none" w:sz="0" w:space="0" w:color="auto"/>
            <w:left w:val="none" w:sz="0" w:space="0" w:color="auto"/>
            <w:bottom w:val="none" w:sz="0" w:space="0" w:color="auto"/>
            <w:right w:val="none" w:sz="0" w:space="0" w:color="auto"/>
          </w:divBdr>
          <w:divsChild>
            <w:div w:id="670915374">
              <w:marLeft w:val="0"/>
              <w:marRight w:val="0"/>
              <w:marTop w:val="0"/>
              <w:marBottom w:val="0"/>
              <w:divBdr>
                <w:top w:val="none" w:sz="0" w:space="0" w:color="auto"/>
                <w:left w:val="none" w:sz="0" w:space="0" w:color="auto"/>
                <w:bottom w:val="none" w:sz="0" w:space="0" w:color="auto"/>
                <w:right w:val="none" w:sz="0" w:space="0" w:color="auto"/>
              </w:divBdr>
            </w:div>
            <w:div w:id="866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6996">
      <w:bodyDiv w:val="1"/>
      <w:marLeft w:val="0"/>
      <w:marRight w:val="0"/>
      <w:marTop w:val="0"/>
      <w:marBottom w:val="0"/>
      <w:divBdr>
        <w:top w:val="none" w:sz="0" w:space="0" w:color="auto"/>
        <w:left w:val="none" w:sz="0" w:space="0" w:color="auto"/>
        <w:bottom w:val="none" w:sz="0" w:space="0" w:color="auto"/>
        <w:right w:val="none" w:sz="0" w:space="0" w:color="auto"/>
      </w:divBdr>
      <w:divsChild>
        <w:div w:id="1585605099">
          <w:marLeft w:val="0"/>
          <w:marRight w:val="0"/>
          <w:marTop w:val="0"/>
          <w:marBottom w:val="0"/>
          <w:divBdr>
            <w:top w:val="none" w:sz="0" w:space="0" w:color="auto"/>
            <w:left w:val="none" w:sz="0" w:space="0" w:color="auto"/>
            <w:bottom w:val="none" w:sz="0" w:space="0" w:color="auto"/>
            <w:right w:val="none" w:sz="0" w:space="0" w:color="auto"/>
          </w:divBdr>
          <w:divsChild>
            <w:div w:id="315426378">
              <w:marLeft w:val="0"/>
              <w:marRight w:val="0"/>
              <w:marTop w:val="0"/>
              <w:marBottom w:val="0"/>
              <w:divBdr>
                <w:top w:val="none" w:sz="0" w:space="0" w:color="auto"/>
                <w:left w:val="none" w:sz="0" w:space="0" w:color="auto"/>
                <w:bottom w:val="none" w:sz="0" w:space="0" w:color="auto"/>
                <w:right w:val="none" w:sz="0" w:space="0" w:color="auto"/>
              </w:divBdr>
              <w:divsChild>
                <w:div w:id="4867461">
                  <w:marLeft w:val="0"/>
                  <w:marRight w:val="0"/>
                  <w:marTop w:val="0"/>
                  <w:marBottom w:val="0"/>
                  <w:divBdr>
                    <w:top w:val="none" w:sz="0" w:space="0" w:color="auto"/>
                    <w:left w:val="none" w:sz="0" w:space="0" w:color="auto"/>
                    <w:bottom w:val="none" w:sz="0" w:space="0" w:color="auto"/>
                    <w:right w:val="none" w:sz="0" w:space="0" w:color="auto"/>
                  </w:divBdr>
                  <w:divsChild>
                    <w:div w:id="15709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2E48-1876-4E04-8CF8-B19A8391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1643</Words>
  <Characters>8878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dc:creator>
  <cp:lastModifiedBy>Nina</cp:lastModifiedBy>
  <cp:revision>3</cp:revision>
  <cp:lastPrinted>2019-03-12T18:23:00Z</cp:lastPrinted>
  <dcterms:created xsi:type="dcterms:W3CDTF">2020-10-06T15:05:00Z</dcterms:created>
  <dcterms:modified xsi:type="dcterms:W3CDTF">2020-10-06T16:56:00Z</dcterms:modified>
</cp:coreProperties>
</file>