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4EC9320D" w:rsidR="00570553" w:rsidRPr="007909BD" w:rsidRDefault="00252AEC"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Nº 057</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5B568F01"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252AEC">
        <w:rPr>
          <w:rFonts w:ascii="Arial" w:hAnsi="Arial"/>
          <w:b/>
          <w:sz w:val="22"/>
          <w:szCs w:val="22"/>
        </w:rPr>
        <w:t>BT COMÉRCIO INTELIGENTE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4726F93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w:t>
      </w:r>
      <w:bookmarkStart w:id="0" w:name="_GoBack"/>
      <w:bookmarkEnd w:id="0"/>
      <w:r w:rsidRPr="009D5FC4">
        <w:rPr>
          <w:rFonts w:ascii="Arial" w:hAnsi="Arial"/>
          <w:sz w:val="22"/>
          <w:szCs w:val="22"/>
        </w:rPr>
        <w:t xml:space="preserve">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 xml:space="preserve">a empresa </w:t>
      </w:r>
      <w:r w:rsidR="00022E84">
        <w:rPr>
          <w:rFonts w:ascii="Arial" w:hAnsi="Arial"/>
          <w:b/>
          <w:color w:val="000000"/>
          <w:sz w:val="22"/>
          <w:szCs w:val="22"/>
        </w:rPr>
        <w:t>B</w:t>
      </w:r>
      <w:r w:rsidR="00252AEC">
        <w:rPr>
          <w:rFonts w:ascii="Arial" w:hAnsi="Arial"/>
          <w:b/>
          <w:color w:val="000000"/>
          <w:sz w:val="22"/>
          <w:szCs w:val="22"/>
        </w:rPr>
        <w:t>T COMÉRCIO INTELIGENTE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 no CNPJ nº 45.329.312/0001-81</w:t>
      </w:r>
      <w:r w:rsidRPr="009D5FC4">
        <w:rPr>
          <w:rFonts w:ascii="Arial" w:hAnsi="Arial"/>
          <w:color w:val="000000"/>
          <w:sz w:val="22"/>
          <w:szCs w:val="22"/>
        </w:rPr>
        <w:t>, com sede</w:t>
      </w:r>
      <w:r w:rsidR="00252AEC">
        <w:rPr>
          <w:rFonts w:ascii="Arial" w:hAnsi="Arial"/>
          <w:color w:val="000000"/>
          <w:sz w:val="22"/>
          <w:szCs w:val="22"/>
        </w:rPr>
        <w:t xml:space="preserve"> na Avenida Setecentos</w:t>
      </w:r>
      <w:r w:rsidR="00022E84">
        <w:rPr>
          <w:rFonts w:ascii="Arial" w:hAnsi="Arial"/>
          <w:color w:val="000000"/>
          <w:sz w:val="22"/>
          <w:szCs w:val="22"/>
        </w:rPr>
        <w:t xml:space="preserve">, nº </w:t>
      </w:r>
      <w:r w:rsidR="00252AEC">
        <w:rPr>
          <w:rFonts w:ascii="Arial" w:hAnsi="Arial"/>
          <w:color w:val="000000"/>
          <w:sz w:val="22"/>
          <w:szCs w:val="22"/>
        </w:rPr>
        <w:t>s/n, Terminal Intermodal da Serra</w:t>
      </w:r>
      <w:r w:rsidR="00A8585C">
        <w:rPr>
          <w:rFonts w:ascii="Arial" w:hAnsi="Arial"/>
          <w:color w:val="000000"/>
          <w:sz w:val="22"/>
          <w:szCs w:val="22"/>
        </w:rPr>
        <w:t xml:space="preserve">, na cidade de </w:t>
      </w:r>
      <w:r w:rsidR="00252AEC">
        <w:rPr>
          <w:rFonts w:ascii="Arial" w:hAnsi="Arial"/>
          <w:color w:val="000000"/>
          <w:sz w:val="22"/>
          <w:szCs w:val="22"/>
        </w:rPr>
        <w:t>Serra/ES, cel. (49) 9 9132-9784</w:t>
      </w:r>
      <w:r w:rsidR="0008559C">
        <w:rPr>
          <w:rFonts w:ascii="Arial" w:hAnsi="Arial"/>
          <w:color w:val="000000"/>
          <w:sz w:val="22"/>
          <w:szCs w:val="22"/>
        </w:rPr>
        <w:t>, e-m</w:t>
      </w:r>
      <w:r w:rsidR="00022E84">
        <w:rPr>
          <w:rFonts w:ascii="Arial" w:hAnsi="Arial"/>
          <w:color w:val="000000"/>
          <w:sz w:val="22"/>
          <w:szCs w:val="22"/>
        </w:rPr>
        <w:t xml:space="preserve">ail </w:t>
      </w:r>
      <w:r w:rsidR="00252AEC">
        <w:rPr>
          <w:rFonts w:ascii="Arial" w:hAnsi="Arial"/>
          <w:color w:val="000000"/>
          <w:sz w:val="22"/>
          <w:szCs w:val="22"/>
        </w:rPr>
        <w:t>licitação.btcomercio@gmail.com</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252AEC">
        <w:rPr>
          <w:rFonts w:ascii="Arial" w:hAnsi="Arial"/>
          <w:b/>
          <w:color w:val="000000"/>
          <w:sz w:val="22"/>
          <w:szCs w:val="22"/>
        </w:rPr>
        <w:t xml:space="preserve">Lucas </w:t>
      </w:r>
      <w:proofErr w:type="spellStart"/>
      <w:r w:rsidR="00252AEC">
        <w:rPr>
          <w:rFonts w:ascii="Arial" w:hAnsi="Arial"/>
          <w:b/>
          <w:color w:val="000000"/>
          <w:sz w:val="22"/>
          <w:szCs w:val="22"/>
        </w:rPr>
        <w:t>Griebeler</w:t>
      </w:r>
      <w:proofErr w:type="spellEnd"/>
      <w:r w:rsidR="00252AEC">
        <w:rPr>
          <w:rFonts w:ascii="Arial" w:hAnsi="Arial"/>
          <w:b/>
          <w:color w:val="000000"/>
          <w:sz w:val="22"/>
          <w:szCs w:val="22"/>
        </w:rPr>
        <w:t xml:space="preserve"> </w:t>
      </w:r>
      <w:proofErr w:type="spellStart"/>
      <w:r w:rsidR="00252AEC">
        <w:rPr>
          <w:rFonts w:ascii="Arial" w:hAnsi="Arial"/>
          <w:b/>
          <w:color w:val="000000"/>
          <w:sz w:val="22"/>
          <w:szCs w:val="22"/>
        </w:rPr>
        <w:t>Sandi</w:t>
      </w:r>
      <w:proofErr w:type="spellEnd"/>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252AEC">
        <w:rPr>
          <w:rFonts w:ascii="Arial" w:hAnsi="Arial"/>
          <w:sz w:val="22"/>
          <w:szCs w:val="22"/>
        </w:rPr>
        <w:t xml:space="preserve"> 09146557954 SSP/SC</w:t>
      </w:r>
      <w:r w:rsidR="005E1200">
        <w:rPr>
          <w:rFonts w:ascii="Arial" w:hAnsi="Arial"/>
          <w:sz w:val="22"/>
          <w:szCs w:val="22"/>
        </w:rPr>
        <w:t xml:space="preserve">, CPF nº </w:t>
      </w:r>
      <w:r w:rsidR="00252AEC">
        <w:rPr>
          <w:rFonts w:ascii="Arial" w:hAnsi="Arial"/>
          <w:sz w:val="22"/>
          <w:szCs w:val="22"/>
        </w:rPr>
        <w:t>091.465.579-54</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11"/>
        <w:gridCol w:w="3181"/>
        <w:gridCol w:w="1052"/>
        <w:gridCol w:w="907"/>
        <w:gridCol w:w="1396"/>
        <w:gridCol w:w="1175"/>
        <w:gridCol w:w="1175"/>
      </w:tblGrid>
      <w:tr w:rsidR="00570553" w:rsidRPr="001B24B9" w14:paraId="2DF9C50D" w14:textId="77777777" w:rsidTr="0008559C">
        <w:trPr>
          <w:trHeight w:val="454"/>
          <w:jc w:val="center"/>
        </w:trPr>
        <w:tc>
          <w:tcPr>
            <w:tcW w:w="6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022E84" w:rsidRDefault="00570553" w:rsidP="00074F70">
            <w:pPr>
              <w:jc w:val="center"/>
              <w:rPr>
                <w:rFonts w:ascii="Arial" w:eastAsia="Times New Roman" w:hAnsi="Arial"/>
                <w:b/>
                <w:sz w:val="18"/>
                <w:szCs w:val="18"/>
              </w:rPr>
            </w:pPr>
            <w:r w:rsidRPr="00022E84">
              <w:rPr>
                <w:rFonts w:ascii="Arial" w:eastAsia="Times New Roman" w:hAnsi="Arial"/>
                <w:b/>
                <w:sz w:val="18"/>
                <w:szCs w:val="18"/>
              </w:rPr>
              <w:t>ITEM</w:t>
            </w:r>
          </w:p>
        </w:tc>
        <w:tc>
          <w:tcPr>
            <w:tcW w:w="3463"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022E84" w:rsidRDefault="00570553" w:rsidP="00074F70">
            <w:pPr>
              <w:jc w:val="center"/>
              <w:rPr>
                <w:rFonts w:ascii="Arial" w:eastAsia="Times New Roman" w:hAnsi="Arial"/>
                <w:b/>
                <w:sz w:val="18"/>
                <w:szCs w:val="18"/>
              </w:rPr>
            </w:pPr>
            <w:r w:rsidRPr="00022E84">
              <w:rPr>
                <w:rFonts w:ascii="Arial" w:eastAsia="Times New Roman" w:hAnsi="Arial"/>
                <w:b/>
                <w:sz w:val="18"/>
                <w:szCs w:val="18"/>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1B24B9" w:rsidRDefault="00570553" w:rsidP="00074F70">
            <w:pPr>
              <w:jc w:val="center"/>
              <w:rPr>
                <w:rFonts w:ascii="Arial" w:eastAsia="Times New Roman" w:hAnsi="Arial"/>
                <w:b/>
              </w:rPr>
            </w:pPr>
            <w:r w:rsidRPr="001B24B9">
              <w:rPr>
                <w:rFonts w:ascii="Arial" w:eastAsia="Times New Roman" w:hAnsi="Arial"/>
                <w:b/>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1B24B9" w:rsidRDefault="00570553" w:rsidP="00074F70">
            <w:pPr>
              <w:jc w:val="center"/>
              <w:rPr>
                <w:rFonts w:ascii="Arial" w:eastAsia="Times New Roman" w:hAnsi="Arial"/>
                <w:b/>
              </w:rPr>
            </w:pPr>
            <w:r w:rsidRPr="001B24B9">
              <w:rPr>
                <w:rFonts w:ascii="Arial" w:eastAsia="Times New Roman" w:hAnsi="Arial"/>
                <w:b/>
              </w:rPr>
              <w:t>QUANT.</w:t>
            </w:r>
          </w:p>
        </w:tc>
        <w:tc>
          <w:tcPr>
            <w:tcW w:w="11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1B24B9" w:rsidRDefault="00570553" w:rsidP="00074F70">
            <w:pPr>
              <w:jc w:val="center"/>
              <w:rPr>
                <w:rFonts w:ascii="Arial" w:eastAsia="Times New Roman" w:hAnsi="Arial"/>
                <w:b/>
              </w:rPr>
            </w:pPr>
            <w:r w:rsidRPr="001B24B9">
              <w:rPr>
                <w:rFonts w:ascii="Arial" w:eastAsia="Times New Roman" w:hAnsi="Arial"/>
                <w:b/>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UNITÁRIO</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1B24B9" w:rsidRDefault="00570553" w:rsidP="00074F70">
            <w:pPr>
              <w:jc w:val="center"/>
              <w:rPr>
                <w:rFonts w:ascii="Arial" w:eastAsia="Times New Roman" w:hAnsi="Arial"/>
                <w:b/>
              </w:rPr>
            </w:pPr>
            <w:r w:rsidRPr="001B24B9">
              <w:rPr>
                <w:rFonts w:ascii="Arial" w:eastAsia="Times New Roman" w:hAnsi="Arial"/>
                <w:b/>
              </w:rPr>
              <w:t>VALOR TOTAL</w:t>
            </w:r>
          </w:p>
        </w:tc>
      </w:tr>
      <w:tr w:rsidR="00570553" w:rsidRPr="001B24B9" w14:paraId="10A59906" w14:textId="77777777" w:rsidTr="0008559C">
        <w:trPr>
          <w:trHeight w:val="283"/>
          <w:jc w:val="center"/>
        </w:trPr>
        <w:tc>
          <w:tcPr>
            <w:tcW w:w="618" w:type="dxa"/>
            <w:tcBorders>
              <w:top w:val="single" w:sz="4" w:space="0" w:color="auto"/>
              <w:left w:val="single" w:sz="4" w:space="0" w:color="000000"/>
              <w:bottom w:val="single" w:sz="4" w:space="0" w:color="auto"/>
              <w:right w:val="single" w:sz="4" w:space="0" w:color="000000"/>
            </w:tcBorders>
            <w:shd w:val="clear" w:color="auto" w:fill="auto"/>
            <w:vAlign w:val="center"/>
          </w:tcPr>
          <w:p w14:paraId="62093D7E" w14:textId="41B7A13C" w:rsidR="00570553" w:rsidRPr="00022E84" w:rsidRDefault="00252AEC" w:rsidP="00074F70">
            <w:pPr>
              <w:jc w:val="center"/>
              <w:rPr>
                <w:rFonts w:ascii="Arial" w:hAnsi="Arial"/>
                <w:color w:val="000000"/>
                <w:sz w:val="18"/>
                <w:szCs w:val="18"/>
              </w:rPr>
            </w:pPr>
            <w:r>
              <w:rPr>
                <w:rFonts w:ascii="Arial" w:hAnsi="Arial"/>
                <w:color w:val="000000"/>
                <w:sz w:val="18"/>
                <w:szCs w:val="18"/>
              </w:rPr>
              <w:t>36</w:t>
            </w:r>
          </w:p>
        </w:tc>
        <w:tc>
          <w:tcPr>
            <w:tcW w:w="3463" w:type="dxa"/>
            <w:tcBorders>
              <w:top w:val="single" w:sz="4" w:space="0" w:color="auto"/>
              <w:left w:val="nil"/>
              <w:bottom w:val="single" w:sz="4" w:space="0" w:color="auto"/>
              <w:right w:val="single" w:sz="4" w:space="0" w:color="000000"/>
            </w:tcBorders>
            <w:shd w:val="clear" w:color="auto" w:fill="auto"/>
            <w:vAlign w:val="center"/>
          </w:tcPr>
          <w:p w14:paraId="1788E657" w14:textId="37E803F6" w:rsidR="00570553" w:rsidRPr="00022E84" w:rsidRDefault="00252AEC" w:rsidP="00252AEC">
            <w:pPr>
              <w:jc w:val="both"/>
              <w:rPr>
                <w:rFonts w:ascii="Arial" w:hAnsi="Arial"/>
                <w:color w:val="000000"/>
                <w:sz w:val="18"/>
                <w:szCs w:val="18"/>
              </w:rPr>
            </w:pPr>
            <w:r w:rsidRPr="00252AEC">
              <w:rPr>
                <w:rFonts w:ascii="Arial" w:hAnsi="Arial"/>
                <w:color w:val="000000"/>
                <w:sz w:val="18"/>
                <w:szCs w:val="18"/>
              </w:rPr>
              <w:t>SMART TV 50” POLEGADAS, UHD 4K, ANDROID 11, DESIGN SLIM, PROCESSADOR QUAD CORE, ESPELHAMENTO DE TELA, WIFI, HDMI, USB.</w:t>
            </w:r>
          </w:p>
        </w:tc>
        <w:tc>
          <w:tcPr>
            <w:tcW w:w="1052" w:type="dxa"/>
            <w:tcBorders>
              <w:top w:val="single" w:sz="4" w:space="0" w:color="auto"/>
              <w:left w:val="nil"/>
              <w:bottom w:val="single" w:sz="4" w:space="0" w:color="auto"/>
              <w:right w:val="single" w:sz="4" w:space="0" w:color="auto"/>
            </w:tcBorders>
            <w:shd w:val="clear" w:color="auto" w:fill="auto"/>
            <w:vAlign w:val="center"/>
          </w:tcPr>
          <w:p w14:paraId="79F949BB" w14:textId="2366832D" w:rsidR="00570553" w:rsidRPr="001B24B9" w:rsidRDefault="00691D89" w:rsidP="00074F70">
            <w:pPr>
              <w:jc w:val="center"/>
              <w:rPr>
                <w:rFonts w:ascii="Arial" w:hAnsi="Arial"/>
                <w:color w:val="000000"/>
              </w:rPr>
            </w:pPr>
            <w:r w:rsidRPr="001B24B9">
              <w:rPr>
                <w:rFonts w:ascii="Arial" w:hAnsi="Arial"/>
                <w:color w:val="000000"/>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6B8E78A0" w14:textId="725227D4" w:rsidR="00570553" w:rsidRPr="001B24B9" w:rsidRDefault="00022E84" w:rsidP="00074F70">
            <w:pPr>
              <w:jc w:val="center"/>
              <w:rPr>
                <w:rFonts w:ascii="Arial" w:hAnsi="Arial"/>
                <w:color w:val="000000"/>
              </w:rPr>
            </w:pPr>
            <w:r>
              <w:rPr>
                <w:rFonts w:ascii="Arial" w:hAnsi="Arial"/>
                <w:color w:val="000000"/>
              </w:rPr>
              <w:t>1</w:t>
            </w:r>
          </w:p>
        </w:tc>
        <w:tc>
          <w:tcPr>
            <w:tcW w:w="1107" w:type="dxa"/>
            <w:tcBorders>
              <w:top w:val="single" w:sz="4" w:space="0" w:color="auto"/>
              <w:left w:val="single" w:sz="4" w:space="0" w:color="auto"/>
              <w:bottom w:val="single" w:sz="4" w:space="0" w:color="auto"/>
              <w:right w:val="single" w:sz="4" w:space="0" w:color="000000"/>
            </w:tcBorders>
            <w:shd w:val="clear" w:color="auto" w:fill="auto"/>
            <w:vAlign w:val="center"/>
          </w:tcPr>
          <w:p w14:paraId="53B68F54" w14:textId="4507CFBC" w:rsidR="00570553" w:rsidRPr="001B24B9" w:rsidRDefault="00252AEC" w:rsidP="00074F70">
            <w:pPr>
              <w:jc w:val="center"/>
              <w:rPr>
                <w:rFonts w:ascii="Arial" w:hAnsi="Arial"/>
                <w:color w:val="000000"/>
              </w:rPr>
            </w:pPr>
            <w:r>
              <w:rPr>
                <w:rFonts w:ascii="Arial" w:hAnsi="Arial"/>
                <w:color w:val="000000"/>
              </w:rPr>
              <w:t>MULTILASER</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1DA57770" w14:textId="31D4345E" w:rsidR="00570553" w:rsidRPr="001B24B9" w:rsidRDefault="00252AEC" w:rsidP="00074F70">
            <w:pPr>
              <w:jc w:val="right"/>
              <w:rPr>
                <w:rFonts w:ascii="Arial" w:eastAsia="Times New Roman" w:hAnsi="Arial"/>
                <w:b/>
                <w:bCs/>
                <w:color w:val="000000"/>
              </w:rPr>
            </w:pPr>
            <w:r>
              <w:rPr>
                <w:rFonts w:ascii="Arial" w:eastAsia="Times New Roman" w:hAnsi="Arial"/>
                <w:b/>
                <w:bCs/>
                <w:color w:val="000000"/>
              </w:rPr>
              <w:t>R$1.913,00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6FE3C912" w14:textId="7A98998C" w:rsidR="00570553" w:rsidRPr="001B24B9" w:rsidRDefault="00691D89" w:rsidP="00074F70">
            <w:pPr>
              <w:jc w:val="right"/>
              <w:rPr>
                <w:rFonts w:ascii="Arial" w:eastAsia="Times New Roman" w:hAnsi="Arial"/>
                <w:b/>
                <w:bCs/>
              </w:rPr>
            </w:pPr>
            <w:r w:rsidRPr="001B24B9">
              <w:rPr>
                <w:rFonts w:ascii="Arial" w:eastAsia="Times New Roman" w:hAnsi="Arial"/>
                <w:b/>
                <w:bCs/>
                <w:color w:val="000000"/>
              </w:rPr>
              <w:t>R$</w:t>
            </w:r>
            <w:r w:rsidR="00252AEC">
              <w:rPr>
                <w:rFonts w:ascii="Arial" w:eastAsia="Times New Roman" w:hAnsi="Arial"/>
                <w:b/>
                <w:bCs/>
                <w:color w:val="000000"/>
              </w:rPr>
              <w:t>1.913,00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23263CD4"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252AEC">
        <w:rPr>
          <w:rFonts w:ascii="Arial" w:eastAsia="Century Gothic" w:hAnsi="Arial"/>
          <w:b/>
          <w:bCs/>
          <w:sz w:val="22"/>
          <w:szCs w:val="22"/>
        </w:rPr>
        <w:t>R$ 1.913,00 (mil novecentos e treze reais</w:t>
      </w:r>
      <w:r w:rsidRPr="009D5FC4">
        <w:rPr>
          <w:rFonts w:ascii="Arial" w:eastAsia="Century Gothic" w:hAnsi="Arial"/>
          <w:b/>
          <w:bCs/>
          <w:sz w:val="22"/>
          <w:szCs w:val="22"/>
        </w:rPr>
        <w:t>)</w:t>
      </w:r>
      <w:r w:rsidRPr="009D5FC4">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 xml:space="preserve">CPF nº </w:t>
      </w:r>
      <w:r>
        <w:rPr>
          <w:rFonts w:ascii="Arial" w:hAnsi="Arial"/>
          <w:sz w:val="22"/>
          <w:szCs w:val="22"/>
        </w:rPr>
        <w:t>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02E3A75D" w:rsidR="00691D89" w:rsidRPr="00691D89" w:rsidRDefault="00252AEC" w:rsidP="005F68C3">
      <w:pPr>
        <w:jc w:val="center"/>
        <w:rPr>
          <w:rFonts w:ascii="Arial" w:hAnsi="Arial"/>
          <w:b/>
          <w:color w:val="000000"/>
          <w:sz w:val="22"/>
          <w:szCs w:val="22"/>
        </w:rPr>
      </w:pPr>
      <w:r>
        <w:rPr>
          <w:rFonts w:ascii="Arial" w:hAnsi="Arial"/>
          <w:b/>
          <w:color w:val="000000"/>
          <w:sz w:val="22"/>
          <w:szCs w:val="22"/>
        </w:rPr>
        <w:t xml:space="preserve">Lucas </w:t>
      </w:r>
      <w:proofErr w:type="spellStart"/>
      <w:r>
        <w:rPr>
          <w:rFonts w:ascii="Arial" w:hAnsi="Arial"/>
          <w:b/>
          <w:color w:val="000000"/>
          <w:sz w:val="22"/>
          <w:szCs w:val="22"/>
        </w:rPr>
        <w:t>Griebeler</w:t>
      </w:r>
      <w:proofErr w:type="spellEnd"/>
      <w:r>
        <w:rPr>
          <w:rFonts w:ascii="Arial" w:hAnsi="Arial"/>
          <w:b/>
          <w:color w:val="000000"/>
          <w:sz w:val="22"/>
          <w:szCs w:val="22"/>
        </w:rPr>
        <w:t xml:space="preserve"> </w:t>
      </w:r>
      <w:proofErr w:type="spellStart"/>
      <w:r>
        <w:rPr>
          <w:rFonts w:ascii="Arial" w:hAnsi="Arial"/>
          <w:b/>
          <w:color w:val="000000"/>
          <w:sz w:val="22"/>
          <w:szCs w:val="22"/>
        </w:rPr>
        <w:t>Sandi</w:t>
      </w:r>
      <w:proofErr w:type="spellEnd"/>
    </w:p>
    <w:p w14:paraId="7D0A37B1" w14:textId="6DFFFAF7" w:rsidR="00691D89" w:rsidRDefault="00691D89" w:rsidP="005F68C3">
      <w:pPr>
        <w:jc w:val="center"/>
        <w:rPr>
          <w:rFonts w:ascii="Arial" w:hAnsi="Arial"/>
          <w:sz w:val="22"/>
          <w:szCs w:val="22"/>
        </w:rPr>
      </w:pPr>
      <w:r>
        <w:rPr>
          <w:rFonts w:ascii="Arial" w:hAnsi="Arial"/>
          <w:sz w:val="22"/>
          <w:szCs w:val="22"/>
        </w:rPr>
        <w:t xml:space="preserve">CPF nº </w:t>
      </w:r>
      <w:r w:rsidR="00252AEC">
        <w:rPr>
          <w:rFonts w:ascii="Arial" w:hAnsi="Arial"/>
          <w:sz w:val="22"/>
          <w:szCs w:val="22"/>
        </w:rPr>
        <w:t>091.465.579-54</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A2155"/>
    <w:rsid w:val="004B5CD8"/>
    <w:rsid w:val="004C269F"/>
    <w:rsid w:val="004C512A"/>
    <w:rsid w:val="00526BBA"/>
    <w:rsid w:val="00570553"/>
    <w:rsid w:val="00583BA4"/>
    <w:rsid w:val="00585C58"/>
    <w:rsid w:val="00585CF0"/>
    <w:rsid w:val="00590EDA"/>
    <w:rsid w:val="005C473A"/>
    <w:rsid w:val="005C76A0"/>
    <w:rsid w:val="005E1200"/>
    <w:rsid w:val="005E3408"/>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A6E89"/>
    <w:rsid w:val="006A7178"/>
    <w:rsid w:val="006B4AE2"/>
    <w:rsid w:val="006C08CF"/>
    <w:rsid w:val="006C165F"/>
    <w:rsid w:val="006E04CC"/>
    <w:rsid w:val="006E5786"/>
    <w:rsid w:val="006E7CA9"/>
    <w:rsid w:val="006F0710"/>
    <w:rsid w:val="00701486"/>
    <w:rsid w:val="00704A9F"/>
    <w:rsid w:val="0072119C"/>
    <w:rsid w:val="00725041"/>
    <w:rsid w:val="00737F0D"/>
    <w:rsid w:val="0075697A"/>
    <w:rsid w:val="00783942"/>
    <w:rsid w:val="007909BD"/>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C49CD0-CD49-47F9-B79B-82FA035A3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3932</Words>
  <Characters>21233</Characters>
  <Application>Microsoft Office Word</Application>
  <DocSecurity>0</DocSecurity>
  <Lines>176</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2</cp:revision>
  <cp:lastPrinted>2021-10-28T18:42:00Z</cp:lastPrinted>
  <dcterms:created xsi:type="dcterms:W3CDTF">2024-08-19T14:14:00Z</dcterms:created>
  <dcterms:modified xsi:type="dcterms:W3CDTF">2024-08-19T14:14:00Z</dcterms:modified>
</cp:coreProperties>
</file>