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03E780DF" w:rsidR="00902920" w:rsidRPr="00234E0D" w:rsidRDefault="00246EA2" w:rsidP="00234E0D">
      <w:pPr>
        <w:tabs>
          <w:tab w:val="left" w:pos="2863"/>
        </w:tabs>
        <w:ind w:left="641"/>
        <w:jc w:val="center"/>
        <w:rPr>
          <w:rFonts w:ascii="Arial" w:hAnsi="Arial" w:cs="Arial"/>
          <w:b/>
        </w:rPr>
      </w:pPr>
      <w:r>
        <w:rPr>
          <w:rFonts w:ascii="Arial" w:hAnsi="Arial" w:cs="Arial"/>
          <w:b/>
        </w:rPr>
        <w:t>CONTRATO Nº 038</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624A5644"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w:t>
      </w:r>
      <w:r w:rsidR="00246EA2">
        <w:rPr>
          <w:bCs w:val="0"/>
          <w:sz w:val="22"/>
          <w:szCs w:val="22"/>
        </w:rPr>
        <w:t>ISTRATIVO Nº 038</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w:t>
      </w:r>
      <w:r w:rsidR="00246EA2">
        <w:rPr>
          <w:bCs w:val="0"/>
          <w:sz w:val="22"/>
          <w:szCs w:val="22"/>
        </w:rPr>
        <w:t>REINALDO LOPES DA SILVA</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2AE86A9B"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246EA2">
        <w:rPr>
          <w:rFonts w:ascii="Arial" w:eastAsia="Arial" w:hAnsi="Arial" w:cs="Arial"/>
          <w:sz w:val="22"/>
          <w:szCs w:val="22"/>
        </w:rPr>
        <w:t xml:space="preserve"> e</w:t>
      </w:r>
      <w:r w:rsidR="00A74CC3">
        <w:rPr>
          <w:rFonts w:ascii="Arial" w:eastAsia="Arial" w:hAnsi="Arial" w:cs="Arial"/>
          <w:sz w:val="22"/>
          <w:szCs w:val="22"/>
        </w:rPr>
        <w:t xml:space="preserve"> </w:t>
      </w:r>
      <w:r w:rsidR="00246EA2">
        <w:rPr>
          <w:rFonts w:ascii="Arial" w:eastAsia="Arial" w:hAnsi="Arial" w:cs="Arial"/>
          <w:b/>
          <w:sz w:val="22"/>
          <w:szCs w:val="22"/>
          <w:u w:val="single"/>
        </w:rPr>
        <w:t>REINALDO LOPES DA SILVA</w:t>
      </w:r>
      <w:r w:rsidR="00246EA2">
        <w:rPr>
          <w:rFonts w:ascii="Arial" w:eastAsia="Arial" w:hAnsi="Arial" w:cs="Arial"/>
          <w:sz w:val="22"/>
          <w:szCs w:val="22"/>
        </w:rPr>
        <w:t xml:space="preserve">, residente e domiciliado no Projeto de Assentamento Floresta Branca, nº 183, Zona Rural, Eldorado/MS, </w:t>
      </w:r>
      <w:r w:rsidR="00EA1899">
        <w:rPr>
          <w:rFonts w:ascii="Arial" w:eastAsia="Arial" w:hAnsi="Arial" w:cs="Arial"/>
          <w:sz w:val="22"/>
          <w:szCs w:val="22"/>
        </w:rPr>
        <w:t>portador</w:t>
      </w:r>
      <w:r w:rsidR="006334DC">
        <w:rPr>
          <w:rFonts w:ascii="Arial" w:eastAsia="Arial" w:hAnsi="Arial" w:cs="Arial"/>
          <w:sz w:val="22"/>
          <w:szCs w:val="22"/>
        </w:rPr>
        <w:t xml:space="preserve"> </w:t>
      </w:r>
      <w:r w:rsidR="00246EA2">
        <w:rPr>
          <w:rFonts w:ascii="Arial" w:eastAsia="Arial" w:hAnsi="Arial" w:cs="Arial"/>
          <w:sz w:val="22"/>
          <w:szCs w:val="22"/>
        </w:rPr>
        <w:t>do CPF nº 638.228.491-20</w:t>
      </w:r>
      <w:r w:rsidR="009747D6">
        <w:rPr>
          <w:rFonts w:ascii="Arial" w:eastAsia="Arial" w:hAnsi="Arial" w:cs="Arial"/>
          <w:sz w:val="22"/>
          <w:szCs w:val="22"/>
        </w:rPr>
        <w:t xml:space="preserve">, </w:t>
      </w:r>
      <w:r w:rsidR="00246EA2">
        <w:rPr>
          <w:rFonts w:ascii="Arial" w:eastAsia="Arial" w:hAnsi="Arial" w:cs="Arial"/>
          <w:iCs/>
          <w:sz w:val="22"/>
          <w:szCs w:val="22"/>
        </w:rPr>
        <w:t>doravante denom</w:t>
      </w:r>
      <w:bookmarkStart w:id="0" w:name="_GoBack"/>
      <w:bookmarkEnd w:id="0"/>
      <w:r w:rsidR="00246EA2">
        <w:rPr>
          <w:rFonts w:ascii="Arial" w:eastAsia="Arial" w:hAnsi="Arial" w:cs="Arial"/>
          <w:iCs/>
          <w:sz w:val="22"/>
          <w:szCs w:val="22"/>
        </w:rPr>
        <w:t>inado CONTRATADO</w:t>
      </w:r>
      <w:r w:rsidR="00E75E3B" w:rsidRPr="00E75E3B">
        <w:rPr>
          <w:rFonts w:ascii="Arial" w:eastAsia="Arial" w:hAnsi="Arial" w:cs="Arial"/>
          <w:iCs/>
          <w:sz w:val="22"/>
          <w:szCs w:val="22"/>
        </w:rPr>
        <w:t xml:space="preserve">,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4082C830"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E208CF">
        <w:rPr>
          <w:rFonts w:ascii="Arial" w:hAnsi="Arial" w:cs="Arial"/>
          <w:b/>
          <w:sz w:val="22"/>
          <w:szCs w:val="22"/>
        </w:rPr>
        <w:t>R$</w:t>
      </w:r>
      <w:r w:rsidR="00246EA2">
        <w:rPr>
          <w:rFonts w:ascii="Arial" w:hAnsi="Arial" w:cs="Arial"/>
          <w:b/>
          <w:sz w:val="22"/>
          <w:szCs w:val="22"/>
        </w:rPr>
        <w:t xml:space="preserve"> 2.442,00 (dois mil quatrocentos e quarenta e dois reais)</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790810F9" w:rsidR="00EA1899" w:rsidRDefault="009A712C" w:rsidP="00F63D92">
            <w:pPr>
              <w:pStyle w:val="TableParagraph"/>
              <w:jc w:val="center"/>
              <w:rPr>
                <w:rFonts w:ascii="Arial" w:hAnsi="Arial" w:cs="Arial"/>
              </w:rPr>
            </w:pPr>
            <w:r>
              <w:rPr>
                <w:rFonts w:ascii="Arial" w:hAnsi="Arial" w:cs="Arial"/>
              </w:rPr>
              <w:t>1</w:t>
            </w:r>
            <w:r w:rsidR="00246EA2">
              <w:rPr>
                <w:rFonts w:ascii="Arial" w:hAnsi="Arial" w:cs="Arial"/>
              </w:rPr>
              <w:t>3</w:t>
            </w:r>
          </w:p>
        </w:tc>
        <w:tc>
          <w:tcPr>
            <w:tcW w:w="2294" w:type="dxa"/>
            <w:vAlign w:val="center"/>
          </w:tcPr>
          <w:p w14:paraId="2852A275" w14:textId="50E7B5A4" w:rsidR="00EA1899" w:rsidRDefault="00246EA2" w:rsidP="00F63D92">
            <w:pPr>
              <w:pStyle w:val="TableParagraph"/>
              <w:jc w:val="center"/>
              <w:rPr>
                <w:rFonts w:ascii="Arial" w:hAnsi="Arial" w:cs="Arial"/>
              </w:rPr>
            </w:pPr>
            <w:r>
              <w:rPr>
                <w:rFonts w:ascii="Arial" w:hAnsi="Arial" w:cs="Arial"/>
              </w:rPr>
              <w:t>MANDIOCA DESCASCADA</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49FCD4D0" w:rsidR="00EA1899" w:rsidRDefault="00246EA2" w:rsidP="00F63D92">
            <w:pPr>
              <w:pStyle w:val="TableParagraph"/>
              <w:jc w:val="center"/>
              <w:rPr>
                <w:rFonts w:ascii="Arial" w:hAnsi="Arial" w:cs="Arial"/>
              </w:rPr>
            </w:pPr>
            <w:r>
              <w:rPr>
                <w:rFonts w:ascii="Arial" w:hAnsi="Arial" w:cs="Arial"/>
              </w:rPr>
              <w:t>300</w:t>
            </w:r>
          </w:p>
        </w:tc>
        <w:tc>
          <w:tcPr>
            <w:tcW w:w="1499" w:type="dxa"/>
            <w:vAlign w:val="center"/>
          </w:tcPr>
          <w:p w14:paraId="54B9D49F" w14:textId="780F625C" w:rsidR="00EA1899" w:rsidRDefault="00246EA2" w:rsidP="00F63D92">
            <w:pPr>
              <w:pStyle w:val="TableParagraph"/>
              <w:jc w:val="center"/>
              <w:rPr>
                <w:rFonts w:ascii="Arial" w:hAnsi="Arial" w:cs="Arial"/>
              </w:rPr>
            </w:pPr>
            <w:r>
              <w:rPr>
                <w:rFonts w:ascii="Arial" w:hAnsi="Arial" w:cs="Arial"/>
              </w:rPr>
              <w:t>8,14</w:t>
            </w:r>
          </w:p>
        </w:tc>
        <w:tc>
          <w:tcPr>
            <w:tcW w:w="2697" w:type="dxa"/>
            <w:gridSpan w:val="2"/>
            <w:vAlign w:val="center"/>
          </w:tcPr>
          <w:p w14:paraId="781EBF16" w14:textId="45D7FE3D" w:rsidR="00EA1899" w:rsidRDefault="00246EA2" w:rsidP="00F63D92">
            <w:pPr>
              <w:pStyle w:val="TableParagraph"/>
              <w:jc w:val="center"/>
              <w:rPr>
                <w:rFonts w:ascii="Arial" w:hAnsi="Arial" w:cs="Arial"/>
              </w:rPr>
            </w:pPr>
            <w:r>
              <w:rPr>
                <w:rFonts w:ascii="Arial" w:hAnsi="Arial" w:cs="Arial"/>
              </w:rPr>
              <w:t>2.442,00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129183AF" w:rsidR="00902920" w:rsidRPr="00D61681" w:rsidRDefault="00246EA2" w:rsidP="00CB1708">
            <w:pPr>
              <w:pStyle w:val="TableParagraph"/>
              <w:jc w:val="center"/>
              <w:rPr>
                <w:rFonts w:ascii="Arial" w:hAnsi="Arial" w:cs="Arial"/>
              </w:rPr>
            </w:pPr>
            <w:r>
              <w:rPr>
                <w:rFonts w:ascii="Arial" w:hAnsi="Arial" w:cs="Arial"/>
              </w:rPr>
              <w:t>2.442,00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1" w:name="CLÁUSULA_DÉCIMA_QUINTA:"/>
      <w:bookmarkEnd w:id="1"/>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2" w:name="_Hlk114504069"/>
        <w:r w:rsidRPr="00D61681">
          <w:rPr>
            <w:rStyle w:val="Hyperlink"/>
            <w:rFonts w:ascii="Arial" w:eastAsia="Arial" w:hAnsi="Arial" w:cs="Arial"/>
            <w:color w:val="auto"/>
            <w:sz w:val="22"/>
            <w:szCs w:val="22"/>
            <w:u w:val="none"/>
          </w:rPr>
          <w:t>Lei nº 14.133, de 2021</w:t>
        </w:r>
        <w:bookmarkEnd w:id="2"/>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 w:name="_Hlk78351618"/>
      <w:bookmarkEnd w:id="3"/>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5B05440C" w:rsidR="00B4212F" w:rsidRPr="00447FE2" w:rsidRDefault="00246EA2" w:rsidP="00234E0D">
      <w:pPr>
        <w:ind w:firstLine="567"/>
        <w:jc w:val="center"/>
        <w:rPr>
          <w:rFonts w:ascii="Arial" w:hAnsi="Arial" w:cs="Arial"/>
          <w:b/>
          <w:bCs/>
          <w:sz w:val="22"/>
          <w:szCs w:val="22"/>
        </w:rPr>
      </w:pPr>
      <w:r>
        <w:rPr>
          <w:rFonts w:ascii="Arial" w:hAnsi="Arial" w:cs="Arial"/>
          <w:b/>
          <w:bCs/>
          <w:sz w:val="22"/>
          <w:szCs w:val="22"/>
        </w:rPr>
        <w:t>Reinaldo Lopes da Silva</w:t>
      </w:r>
    </w:p>
    <w:p w14:paraId="2AAA2B5D" w14:textId="0CB608F3"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246EA2">
        <w:rPr>
          <w:rFonts w:ascii="Arial" w:eastAsia="Arial" w:hAnsi="Arial" w:cs="Arial"/>
          <w:sz w:val="22"/>
          <w:szCs w:val="22"/>
        </w:rPr>
        <w:t>638.228.491-20</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IFpuYavAgAArAUAAA4A&#10;AAAAAAAAAAAAAAAALgIAAGRycy9lMm9Eb2MueG1sUEsBAi0AFAAGAAgAAAAhABWFZezgAAAACAEA&#10;AA8AAAAAAAAAAAAAAAAACQUAAGRycy9kb3ducmV2LnhtbFBLBQYAAAAABAAEAPMAAAAWBgAA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1599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46EA2"/>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83AF8"/>
    <w:rsid w:val="005A0441"/>
    <w:rsid w:val="005A0B68"/>
    <w:rsid w:val="005A59E1"/>
    <w:rsid w:val="005B299A"/>
    <w:rsid w:val="005D4697"/>
    <w:rsid w:val="005E53EA"/>
    <w:rsid w:val="005F2BE7"/>
    <w:rsid w:val="00612A6E"/>
    <w:rsid w:val="00612CBF"/>
    <w:rsid w:val="00613CDB"/>
    <w:rsid w:val="00622DFA"/>
    <w:rsid w:val="00631703"/>
    <w:rsid w:val="006334DC"/>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71B5"/>
    <w:rsid w:val="009426DA"/>
    <w:rsid w:val="00944154"/>
    <w:rsid w:val="009462C7"/>
    <w:rsid w:val="00962D9D"/>
    <w:rsid w:val="009747D6"/>
    <w:rsid w:val="00990A20"/>
    <w:rsid w:val="009A712C"/>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4CC3"/>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A4ED2"/>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8CF"/>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5DBE-5DE4-4772-A988-98DE43A0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3092</Words>
  <Characters>16699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2</cp:revision>
  <cp:lastPrinted>2013-02-25T19:42:00Z</cp:lastPrinted>
  <dcterms:created xsi:type="dcterms:W3CDTF">2024-06-10T16:47:00Z</dcterms:created>
  <dcterms:modified xsi:type="dcterms:W3CDTF">2024-06-10T16:47:00Z</dcterms:modified>
</cp:coreProperties>
</file>