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01</w:t>
      </w:r>
      <w:r w:rsidR="00FD3BA8">
        <w:rPr>
          <w:rFonts w:ascii="Verdana" w:hAnsi="Verdana" w:cs="Tahoma"/>
          <w:b/>
          <w:sz w:val="19"/>
          <w:szCs w:val="19"/>
        </w:rPr>
        <w:t>9</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007</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5C6454">
            <w:pPr>
              <w:rPr>
                <w:rFonts w:ascii="Arial" w:eastAsia="Helvetica" w:hAnsi="Arial"/>
                <w:b/>
                <w:sz w:val="22"/>
                <w:szCs w:val="22"/>
              </w:rPr>
            </w:pPr>
            <w:r w:rsidRPr="00335483">
              <w:rPr>
                <w:rFonts w:ascii="Arial" w:eastAsia="Helvetica" w:hAnsi="Arial"/>
                <w:b/>
                <w:sz w:val="22"/>
                <w:szCs w:val="22"/>
              </w:rPr>
              <w:t xml:space="preserve">Data da sessão: </w:t>
            </w:r>
            <w:r w:rsidRPr="000B2233">
              <w:rPr>
                <w:rFonts w:ascii="Arial" w:eastAsia="Helvetica" w:hAnsi="Arial"/>
                <w:sz w:val="22"/>
                <w:szCs w:val="22"/>
              </w:rPr>
              <w:t>2</w:t>
            </w:r>
            <w:r w:rsidR="005C6454">
              <w:rPr>
                <w:rFonts w:ascii="Arial" w:eastAsia="Helvetica" w:hAnsi="Arial"/>
                <w:sz w:val="22"/>
                <w:szCs w:val="22"/>
              </w:rPr>
              <w:t>6</w:t>
            </w:r>
            <w:r w:rsidRPr="000B2233">
              <w:rPr>
                <w:rFonts w:ascii="Arial" w:eastAsia="Helvetica" w:hAnsi="Arial"/>
                <w:sz w:val="22"/>
                <w:szCs w:val="22"/>
              </w:rPr>
              <w:t>/0</w:t>
            </w:r>
            <w:r>
              <w:rPr>
                <w:rFonts w:ascii="Arial" w:eastAsia="Helvetica" w:hAnsi="Arial"/>
                <w:sz w:val="22"/>
                <w:szCs w:val="22"/>
              </w:rPr>
              <w:t>3</w:t>
            </w:r>
            <w:r w:rsidRPr="00335483">
              <w:rPr>
                <w:rFonts w:ascii="Arial" w:eastAsia="Helvetica" w:hAnsi="Arial"/>
                <w:sz w:val="22"/>
                <w:szCs w:val="22"/>
              </w:rPr>
              <w:t xml:space="preserve">/2024 – </w:t>
            </w:r>
            <w:r w:rsidR="005C6454">
              <w:rPr>
                <w:rFonts w:ascii="Arial" w:eastAsia="Helvetica" w:hAnsi="Arial"/>
                <w:sz w:val="22"/>
                <w:szCs w:val="22"/>
              </w:rPr>
              <w:t>07h0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5C6454" w:rsidRPr="005C6454">
              <w:rPr>
                <w:rFonts w:ascii="Arial" w:eastAsia="Helvetica" w:hAnsi="Arial"/>
                <w:b/>
                <w:sz w:val="22"/>
                <w:szCs w:val="22"/>
              </w:rPr>
              <w:t>Registro de preços visando a aquisição de material gráfico para atender as necessidades das Secretarias Municipais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5C6454">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5C6454" w:rsidRPr="005C6454">
        <w:rPr>
          <w:rFonts w:ascii="Arial" w:eastAsia="Helvetica" w:hAnsi="Arial"/>
          <w:b/>
          <w:szCs w:val="22"/>
        </w:rPr>
        <w:t xml:space="preserve">Registro de preços visando a aquisição de material gráfico para atender as necessidades das Secretarias Municipais da Prefeitura de Eldorado/MS, de acordo com as quantidades e especificações constantes no Termo de </w:t>
      </w:r>
      <w:proofErr w:type="gramStart"/>
      <w:r w:rsidR="005C6454" w:rsidRPr="005C6454">
        <w:rPr>
          <w:rFonts w:ascii="Arial" w:eastAsia="Helvetica" w:hAnsi="Arial"/>
          <w:b/>
          <w:szCs w:val="22"/>
        </w:rPr>
        <w:t>Referência.</w:t>
      </w:r>
      <w:r w:rsidRPr="000B2233">
        <w:rPr>
          <w:rFonts w:ascii="Arial" w:eastAsia="Helvetica" w:hAnsi="Arial"/>
          <w:b/>
          <w:szCs w:val="22"/>
        </w:rPr>
        <w:t>.</w:t>
      </w:r>
      <w:proofErr w:type="gramEnd"/>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5C6454">
              <w:rPr>
                <w:rFonts w:ascii="Arial" w:eastAsia="Helvetica" w:hAnsi="Arial"/>
                <w:b/>
                <w:bCs/>
                <w:sz w:val="22"/>
                <w:szCs w:val="22"/>
              </w:rPr>
              <w:t>7</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5C6454" w:rsidRPr="005C6454">
              <w:rPr>
                <w:rFonts w:ascii="Arial" w:eastAsia="Helvetica" w:hAnsi="Arial"/>
                <w:sz w:val="22"/>
                <w:szCs w:val="22"/>
              </w:rPr>
              <w:t>Registro de preços visando a aquisição de material gráfico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5C6454">
              <w:rPr>
                <w:rFonts w:ascii="Arial" w:eastAsia="Helvetica" w:hAnsi="Arial"/>
                <w:b/>
                <w:bCs/>
                <w:sz w:val="22"/>
                <w:szCs w:val="22"/>
              </w:rPr>
              <w:t>7</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lastRenderedPageBreak/>
              <w:t xml:space="preserve">Objeto: </w:t>
            </w:r>
            <w:r w:rsidR="005C6454" w:rsidRPr="005C6454">
              <w:rPr>
                <w:rFonts w:ascii="Arial" w:eastAsia="Helvetica" w:hAnsi="Arial"/>
                <w:sz w:val="22"/>
                <w:szCs w:val="22"/>
              </w:rPr>
              <w:t>Registro de preços visando a aquisição de material gráfico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lastRenderedPageBreak/>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857741">
        <w:rPr>
          <w:rFonts w:ascii="Arial" w:hAnsi="Arial"/>
        </w:rPr>
        <w:t>12</w:t>
      </w:r>
      <w:r w:rsidRPr="001E1C30">
        <w:rPr>
          <w:rFonts w:ascii="Arial" w:hAnsi="Arial"/>
        </w:rPr>
        <w:t xml:space="preserve"> de </w:t>
      </w:r>
      <w:r w:rsidR="005D7091">
        <w:rPr>
          <w:rFonts w:ascii="Arial" w:hAnsi="Arial"/>
        </w:rPr>
        <w:t>março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857741">
        <w:rPr>
          <w:rFonts w:ascii="Verdana" w:hAnsi="Verdana" w:cs="Arial"/>
          <w:b/>
          <w:bCs/>
          <w:snapToGrid w:val="0"/>
          <w:sz w:val="20"/>
          <w:szCs w:val="20"/>
        </w:rPr>
        <w:t>9</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857741">
        <w:rPr>
          <w:rFonts w:ascii="Verdana" w:hAnsi="Verdana" w:cs="Arial"/>
          <w:b/>
          <w:bCs/>
          <w:snapToGrid w:val="0"/>
          <w:sz w:val="20"/>
          <w:szCs w:val="20"/>
        </w:rPr>
        <w:t>7</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00</w:t>
      </w:r>
      <w:r w:rsidR="00857741">
        <w:rPr>
          <w:rFonts w:ascii="Arial" w:hAnsi="Arial" w:cs="Arial"/>
        </w:rPr>
        <w:t>7</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Pr>
          <w:rFonts w:ascii="Arial" w:hAnsi="Arial" w:cs="Arial"/>
        </w:rPr>
        <w:t>1</w:t>
      </w:r>
      <w:r w:rsidR="00857741">
        <w:rPr>
          <w:rFonts w:ascii="Arial" w:hAnsi="Arial" w:cs="Arial"/>
        </w:rPr>
        <w:t>9</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857741">
      <w:pPr>
        <w:pStyle w:val="Nivel2"/>
        <w:rPr>
          <w:sz w:val="24"/>
          <w:szCs w:val="24"/>
        </w:rPr>
      </w:pPr>
      <w:r w:rsidRPr="007D0E26">
        <w:rPr>
          <w:sz w:val="24"/>
          <w:szCs w:val="24"/>
        </w:rPr>
        <w:t xml:space="preserve">A presente Ata tem por objeto o </w:t>
      </w:r>
      <w:r w:rsidR="00857741" w:rsidRPr="00857741">
        <w:rPr>
          <w:b/>
          <w:sz w:val="24"/>
          <w:szCs w:val="24"/>
        </w:rPr>
        <w:t>Registro de preços visando a aquisição de material gráfico para atender as necessidades das Secretarias Municipais da Prefeitura de Eldorado/MS, de acordo com as quantidades e especificações co</w:t>
      </w:r>
      <w:r w:rsidR="00857741">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00</w:t>
      </w:r>
      <w:r w:rsidR="00857741">
        <w:rPr>
          <w:i/>
          <w:sz w:val="24"/>
          <w:szCs w:val="24"/>
        </w:rPr>
        <w:t>7</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857741">
        <w:rPr>
          <w:rFonts w:ascii="Verdana" w:hAnsi="Verdana" w:cs="Arial"/>
          <w:b/>
          <w:bCs/>
          <w:snapToGrid w:val="0"/>
          <w:sz w:val="20"/>
          <w:szCs w:val="20"/>
        </w:rPr>
        <w:t>9</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857741">
        <w:rPr>
          <w:rFonts w:ascii="Verdana" w:hAnsi="Verdana" w:cs="Arial"/>
          <w:b/>
          <w:bCs/>
          <w:snapToGrid w:val="0"/>
          <w:sz w:val="20"/>
          <w:szCs w:val="20"/>
        </w:rPr>
        <w:t>7</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01</w:t>
      </w:r>
      <w:r w:rsidR="00857741">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857741">
        <w:rPr>
          <w:rFonts w:ascii="Arial" w:eastAsia="Century Gothic" w:hAnsi="Arial" w:cs="Arial"/>
          <w:sz w:val="22"/>
          <w:szCs w:val="22"/>
        </w:rPr>
        <w:t>7</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857741">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857741" w:rsidRPr="00857741">
        <w:rPr>
          <w:rFonts w:ascii="Arial" w:eastAsia="Century Gothic" w:hAnsi="Arial" w:cs="Arial"/>
          <w:b/>
          <w:sz w:val="22"/>
          <w:szCs w:val="22"/>
        </w:rPr>
        <w:t>Registro de preços visando a aquisição de material gráfico para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9E7EE7" w:rsidRDefault="009E7EE7" w:rsidP="000B2233">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76"/>
        <w:gridCol w:w="495"/>
        <w:gridCol w:w="877"/>
        <w:gridCol w:w="824"/>
        <w:gridCol w:w="1110"/>
        <w:gridCol w:w="900"/>
        <w:gridCol w:w="900"/>
      </w:tblGrid>
      <w:tr w:rsidR="009E7EE7" w:rsidRPr="009E7EE7" w:rsidTr="009E7EE7">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ÓRGÃO LICITANTE:</w:t>
            </w:r>
          </w:p>
        </w:tc>
      </w:tr>
      <w:tr w:rsidR="009E7EE7" w:rsidRPr="009E7EE7" w:rsidTr="009E7EE7">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b/>
                <w:bCs/>
                <w:color w:val="000000"/>
                <w:sz w:val="16"/>
                <w:szCs w:val="16"/>
              </w:rPr>
            </w:pPr>
            <w:r w:rsidRPr="009E7EE7">
              <w:rPr>
                <w:rFonts w:ascii="Tahoma" w:eastAsia="Times New Roman" w:hAnsi="Tahoma" w:cs="Tahoma"/>
                <w:b/>
                <w:bCs/>
                <w:color w:val="000000"/>
                <w:sz w:val="16"/>
                <w:szCs w:val="16"/>
              </w:rPr>
              <w:t>PREFEITURA MUNICIPAL DE ELDORADO</w:t>
            </w:r>
          </w:p>
        </w:tc>
      </w:tr>
      <w:tr w:rsidR="009E7EE7" w:rsidRPr="009E7EE7" w:rsidTr="009E7EE7">
        <w:trPr>
          <w:trHeight w:val="180"/>
        </w:trPr>
        <w:tc>
          <w:tcPr>
            <w:tcW w:w="6086" w:type="dxa"/>
            <w:gridSpan w:val="6"/>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PROCESSO/MODALIDADE:</w:t>
            </w:r>
          </w:p>
        </w:tc>
        <w:tc>
          <w:tcPr>
            <w:tcW w:w="3734" w:type="dxa"/>
            <w:gridSpan w:val="4"/>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TIPO DE JULGAMENTO:</w:t>
            </w:r>
          </w:p>
        </w:tc>
      </w:tr>
      <w:tr w:rsidR="009E7EE7" w:rsidRPr="009E7EE7" w:rsidTr="009E7EE7">
        <w:trPr>
          <w:trHeight w:val="282"/>
        </w:trPr>
        <w:tc>
          <w:tcPr>
            <w:tcW w:w="6086" w:type="dxa"/>
            <w:gridSpan w:val="6"/>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b/>
                <w:bCs/>
                <w:color w:val="000000"/>
                <w:sz w:val="16"/>
                <w:szCs w:val="16"/>
              </w:rPr>
            </w:pPr>
            <w:r w:rsidRPr="009E7EE7">
              <w:rPr>
                <w:rFonts w:ascii="Tahoma" w:eastAsia="Times New Roman" w:hAnsi="Tahoma" w:cs="Tahoma"/>
                <w:b/>
                <w:bCs/>
                <w:color w:val="000000"/>
                <w:sz w:val="16"/>
                <w:szCs w:val="16"/>
              </w:rPr>
              <w:t>0019/2024   -   PREGÃO Nº 0007/2024</w:t>
            </w:r>
          </w:p>
        </w:tc>
        <w:tc>
          <w:tcPr>
            <w:tcW w:w="3734" w:type="dxa"/>
            <w:gridSpan w:val="4"/>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b/>
                <w:bCs/>
                <w:color w:val="000000"/>
                <w:sz w:val="16"/>
                <w:szCs w:val="16"/>
              </w:rPr>
            </w:pPr>
            <w:r w:rsidRPr="009E7EE7">
              <w:rPr>
                <w:rFonts w:ascii="Tahoma" w:eastAsia="Times New Roman" w:hAnsi="Tahoma" w:cs="Tahoma"/>
                <w:b/>
                <w:bCs/>
                <w:color w:val="000000"/>
                <w:sz w:val="16"/>
                <w:szCs w:val="16"/>
              </w:rPr>
              <w:t>MENOR PREÇO POR ITEM</w:t>
            </w:r>
          </w:p>
        </w:tc>
      </w:tr>
      <w:tr w:rsidR="009E7EE7" w:rsidRPr="009E7EE7" w:rsidTr="009E7EE7">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OBJETO:</w:t>
            </w:r>
          </w:p>
        </w:tc>
      </w:tr>
      <w:tr w:rsidR="009E7EE7" w:rsidRPr="009E7EE7" w:rsidTr="009E7EE7">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E7EE7" w:rsidRPr="009E7EE7" w:rsidRDefault="009E7EE7" w:rsidP="009E7EE7">
            <w:pPr>
              <w:jc w:val="both"/>
              <w:rPr>
                <w:rFonts w:ascii="Tahoma" w:eastAsia="Times New Roman" w:hAnsi="Tahoma" w:cs="Tahoma"/>
                <w:b/>
                <w:bCs/>
                <w:color w:val="000000"/>
                <w:sz w:val="16"/>
                <w:szCs w:val="16"/>
              </w:rPr>
            </w:pPr>
            <w:r w:rsidRPr="009E7EE7">
              <w:rPr>
                <w:rFonts w:ascii="Tahoma" w:eastAsia="Times New Roman" w:hAnsi="Tahoma" w:cs="Tahoma"/>
                <w:b/>
                <w:bCs/>
                <w:color w:val="000000"/>
                <w:sz w:val="16"/>
                <w:szCs w:val="16"/>
              </w:rPr>
              <w:t>REGISTRO DE PREÇOS VISANDO A AQUISIÇÃO DE MATERIAL GRÁFICO PARA ATENDER AS NECESSIDADES DAS SECRETARIAS MUNICIPAIS DA PREFEITURA DE ELDORADO/MS, DE ACORDO COM AS QUANTIDADES E ESPECIFICAÇÕES CONSTANTES NO TERMO DE REFERÊNCIA.</w:t>
            </w:r>
          </w:p>
        </w:tc>
      </w:tr>
      <w:tr w:rsidR="009E7EE7" w:rsidRPr="009E7EE7" w:rsidTr="009E7EE7">
        <w:trPr>
          <w:trHeight w:val="165"/>
        </w:trPr>
        <w:tc>
          <w:tcPr>
            <w:tcW w:w="6910" w:type="dxa"/>
            <w:gridSpan w:val="7"/>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PROPONENTE:</w:t>
            </w:r>
          </w:p>
        </w:tc>
        <w:tc>
          <w:tcPr>
            <w:tcW w:w="2910" w:type="dxa"/>
            <w:gridSpan w:val="3"/>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CNPJ/CPF:</w:t>
            </w:r>
          </w:p>
        </w:tc>
      </w:tr>
      <w:tr w:rsidR="009E7EE7" w:rsidRPr="009E7EE7" w:rsidTr="009E7EE7">
        <w:trPr>
          <w:trHeight w:val="282"/>
        </w:trPr>
        <w:tc>
          <w:tcPr>
            <w:tcW w:w="6910" w:type="dxa"/>
            <w:gridSpan w:val="7"/>
            <w:tcBorders>
              <w:top w:val="nil"/>
              <w:left w:val="single" w:sz="4" w:space="0" w:color="auto"/>
              <w:bottom w:val="single" w:sz="4" w:space="0" w:color="auto"/>
              <w:right w:val="single" w:sz="4" w:space="0" w:color="000000"/>
            </w:tcBorders>
            <w:shd w:val="clear" w:color="000000" w:fill="FFFF99"/>
            <w:vAlign w:val="center"/>
            <w:hideMark/>
          </w:tcPr>
          <w:p w:rsidR="009E7EE7" w:rsidRPr="009E7EE7" w:rsidRDefault="009E7EE7" w:rsidP="009E7EE7">
            <w:pPr>
              <w:jc w:val="cente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2910" w:type="dxa"/>
            <w:gridSpan w:val="3"/>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jc w:val="center"/>
              <w:rPr>
                <w:rFonts w:ascii="Tahoma" w:eastAsia="Times New Roman" w:hAnsi="Tahoma" w:cs="Tahoma"/>
                <w:b/>
                <w:bCs/>
                <w:sz w:val="16"/>
                <w:szCs w:val="16"/>
              </w:rPr>
            </w:pPr>
            <w:r w:rsidRPr="009E7EE7">
              <w:rPr>
                <w:rFonts w:ascii="Tahoma" w:eastAsia="Times New Roman" w:hAnsi="Tahoma" w:cs="Tahoma"/>
                <w:b/>
                <w:bCs/>
                <w:sz w:val="16"/>
                <w:szCs w:val="16"/>
              </w:rPr>
              <w:t> </w:t>
            </w:r>
          </w:p>
        </w:tc>
      </w:tr>
      <w:tr w:rsidR="009E7EE7" w:rsidRPr="009E7EE7" w:rsidTr="009E7EE7">
        <w:trPr>
          <w:trHeight w:val="165"/>
        </w:trPr>
        <w:tc>
          <w:tcPr>
            <w:tcW w:w="5209" w:type="dxa"/>
            <w:gridSpan w:val="5"/>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ENDEREÇO:</w:t>
            </w:r>
          </w:p>
        </w:tc>
        <w:tc>
          <w:tcPr>
            <w:tcW w:w="4611" w:type="dxa"/>
            <w:gridSpan w:val="5"/>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BAIRRO:</w:t>
            </w:r>
          </w:p>
        </w:tc>
      </w:tr>
      <w:tr w:rsidR="009E7EE7" w:rsidRPr="009E7EE7" w:rsidTr="009E7EE7">
        <w:trPr>
          <w:trHeight w:val="282"/>
        </w:trPr>
        <w:tc>
          <w:tcPr>
            <w:tcW w:w="5209" w:type="dxa"/>
            <w:gridSpan w:val="5"/>
            <w:tcBorders>
              <w:top w:val="nil"/>
              <w:left w:val="single" w:sz="4" w:space="0" w:color="auto"/>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4611" w:type="dxa"/>
            <w:gridSpan w:val="5"/>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r>
      <w:tr w:rsidR="009E7EE7" w:rsidRPr="009E7EE7" w:rsidTr="009E7EE7">
        <w:trPr>
          <w:trHeight w:val="165"/>
        </w:trPr>
        <w:tc>
          <w:tcPr>
            <w:tcW w:w="4714" w:type="dxa"/>
            <w:gridSpan w:val="4"/>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CEP:</w:t>
            </w:r>
          </w:p>
        </w:tc>
        <w:tc>
          <w:tcPr>
            <w:tcW w:w="3734" w:type="dxa"/>
            <w:gridSpan w:val="4"/>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TELEFONE/FAX:</w:t>
            </w:r>
          </w:p>
        </w:tc>
      </w:tr>
      <w:tr w:rsidR="009E7EE7" w:rsidRPr="009E7EE7" w:rsidTr="009E7EE7">
        <w:trPr>
          <w:trHeight w:val="282"/>
        </w:trPr>
        <w:tc>
          <w:tcPr>
            <w:tcW w:w="4714" w:type="dxa"/>
            <w:gridSpan w:val="4"/>
            <w:tcBorders>
              <w:top w:val="nil"/>
              <w:left w:val="single" w:sz="4" w:space="0" w:color="auto"/>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jc w:val="cente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3734" w:type="dxa"/>
            <w:gridSpan w:val="4"/>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r>
      <w:tr w:rsidR="009E7EE7" w:rsidRPr="009E7EE7" w:rsidTr="009E7EE7">
        <w:trPr>
          <w:trHeight w:val="165"/>
        </w:trPr>
        <w:tc>
          <w:tcPr>
            <w:tcW w:w="6086" w:type="dxa"/>
            <w:gridSpan w:val="6"/>
            <w:tcBorders>
              <w:top w:val="single" w:sz="4" w:space="0" w:color="auto"/>
              <w:left w:val="single" w:sz="4" w:space="0" w:color="auto"/>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DADOS PARA PAGAMENTO (BANCO/AGÊNCIA/CONTA):</w:t>
            </w:r>
          </w:p>
        </w:tc>
        <w:tc>
          <w:tcPr>
            <w:tcW w:w="3734" w:type="dxa"/>
            <w:gridSpan w:val="4"/>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VALIDADE DA PROPOSTA:</w:t>
            </w:r>
          </w:p>
        </w:tc>
      </w:tr>
      <w:tr w:rsidR="009E7EE7" w:rsidRPr="009E7EE7" w:rsidTr="009E7EE7">
        <w:trPr>
          <w:trHeight w:val="282"/>
        </w:trPr>
        <w:tc>
          <w:tcPr>
            <w:tcW w:w="6086" w:type="dxa"/>
            <w:gridSpan w:val="6"/>
            <w:tcBorders>
              <w:top w:val="nil"/>
              <w:left w:val="single" w:sz="4" w:space="0" w:color="auto"/>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3734" w:type="dxa"/>
            <w:gridSpan w:val="4"/>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r>
      <w:tr w:rsidR="009E7EE7" w:rsidRPr="009E7EE7" w:rsidTr="009E7EE7">
        <w:trPr>
          <w:trHeight w:val="165"/>
        </w:trPr>
        <w:tc>
          <w:tcPr>
            <w:tcW w:w="4714" w:type="dxa"/>
            <w:gridSpan w:val="4"/>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E-MAIL</w:t>
            </w:r>
          </w:p>
        </w:tc>
        <w:tc>
          <w:tcPr>
            <w:tcW w:w="5106" w:type="dxa"/>
            <w:gridSpan w:val="6"/>
            <w:tcBorders>
              <w:top w:val="single" w:sz="4" w:space="0" w:color="auto"/>
              <w:left w:val="nil"/>
              <w:bottom w:val="nil"/>
              <w:right w:val="single" w:sz="4" w:space="0" w:color="000000"/>
            </w:tcBorders>
            <w:shd w:val="clear" w:color="auto" w:fill="auto"/>
            <w:vAlign w:val="center"/>
            <w:hideMark/>
          </w:tcPr>
          <w:p w:rsidR="009E7EE7" w:rsidRPr="009E7EE7" w:rsidRDefault="009E7EE7" w:rsidP="009E7EE7">
            <w:pPr>
              <w:rPr>
                <w:rFonts w:ascii="Tahoma" w:eastAsia="Times New Roman" w:hAnsi="Tahoma" w:cs="Tahoma"/>
                <w:sz w:val="12"/>
                <w:szCs w:val="12"/>
              </w:rPr>
            </w:pPr>
            <w:r w:rsidRPr="009E7EE7">
              <w:rPr>
                <w:rFonts w:ascii="Tahoma" w:eastAsia="Times New Roman" w:hAnsi="Tahoma" w:cs="Tahoma"/>
                <w:sz w:val="12"/>
                <w:szCs w:val="12"/>
              </w:rPr>
              <w:t>LOCAL E DATA:</w:t>
            </w:r>
          </w:p>
        </w:tc>
      </w:tr>
      <w:tr w:rsidR="009E7EE7" w:rsidRPr="009E7EE7" w:rsidTr="009E7EE7">
        <w:trPr>
          <w:trHeight w:val="255"/>
        </w:trPr>
        <w:tc>
          <w:tcPr>
            <w:tcW w:w="4714" w:type="dxa"/>
            <w:gridSpan w:val="4"/>
            <w:tcBorders>
              <w:top w:val="nil"/>
              <w:left w:val="single" w:sz="4" w:space="0" w:color="auto"/>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c>
          <w:tcPr>
            <w:tcW w:w="5106" w:type="dxa"/>
            <w:gridSpan w:val="6"/>
            <w:tcBorders>
              <w:top w:val="nil"/>
              <w:left w:val="nil"/>
              <w:bottom w:val="single" w:sz="4" w:space="0" w:color="auto"/>
              <w:right w:val="single" w:sz="4" w:space="0" w:color="000000"/>
            </w:tcBorders>
            <w:shd w:val="clear" w:color="000000" w:fill="FFFF99"/>
            <w:vAlign w:val="center"/>
            <w:hideMark/>
          </w:tcPr>
          <w:p w:rsidR="009E7EE7" w:rsidRPr="009E7EE7" w:rsidRDefault="009E7EE7" w:rsidP="009E7EE7">
            <w:pPr>
              <w:rPr>
                <w:rFonts w:ascii="Tahoma" w:eastAsia="Times New Roman" w:hAnsi="Tahoma" w:cs="Tahoma"/>
                <w:b/>
                <w:bCs/>
                <w:sz w:val="16"/>
                <w:szCs w:val="16"/>
              </w:rPr>
            </w:pPr>
            <w:r w:rsidRPr="009E7EE7">
              <w:rPr>
                <w:rFonts w:ascii="Tahoma" w:eastAsia="Times New Roman" w:hAnsi="Tahoma" w:cs="Tahoma"/>
                <w:b/>
                <w:bCs/>
                <w:sz w:val="16"/>
                <w:szCs w:val="16"/>
              </w:rPr>
              <w:t> </w:t>
            </w:r>
          </w:p>
        </w:tc>
      </w:tr>
      <w:tr w:rsidR="009E7EE7" w:rsidRPr="009E7EE7" w:rsidTr="009E7EE7">
        <w:trPr>
          <w:trHeight w:val="165"/>
        </w:trPr>
        <w:tc>
          <w:tcPr>
            <w:tcW w:w="446" w:type="dxa"/>
            <w:tcBorders>
              <w:top w:val="nil"/>
              <w:left w:val="nil"/>
              <w:bottom w:val="nil"/>
              <w:right w:val="nil"/>
            </w:tcBorders>
            <w:shd w:val="clear" w:color="auto" w:fill="auto"/>
            <w:vAlign w:val="center"/>
            <w:hideMark/>
          </w:tcPr>
          <w:p w:rsidR="009E7EE7" w:rsidRPr="009E7EE7" w:rsidRDefault="009E7EE7" w:rsidP="009E7EE7">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523"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3376"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495"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877"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824"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1110"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900"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c>
          <w:tcPr>
            <w:tcW w:w="900" w:type="dxa"/>
            <w:tcBorders>
              <w:top w:val="nil"/>
              <w:left w:val="nil"/>
              <w:bottom w:val="nil"/>
              <w:right w:val="nil"/>
            </w:tcBorders>
            <w:shd w:val="clear" w:color="auto" w:fill="auto"/>
            <w:vAlign w:val="center"/>
            <w:hideMark/>
          </w:tcPr>
          <w:p w:rsidR="009E7EE7" w:rsidRPr="009E7EE7" w:rsidRDefault="009E7EE7" w:rsidP="009E7EE7">
            <w:pPr>
              <w:rPr>
                <w:rFonts w:eastAsia="Times New Roman"/>
                <w:sz w:val="20"/>
                <w:szCs w:val="20"/>
              </w:rPr>
            </w:pPr>
          </w:p>
        </w:tc>
      </w:tr>
      <w:tr w:rsidR="009E7EE7" w:rsidRPr="009E7EE7" w:rsidTr="009E7EE7">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CÓDIGO</w:t>
            </w:r>
          </w:p>
        </w:tc>
        <w:tc>
          <w:tcPr>
            <w:tcW w:w="3376"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UNID.</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QUANTIDADE</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VALOR MÁXIMO</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0"/>
                <w:szCs w:val="10"/>
              </w:rPr>
            </w:pPr>
            <w:r w:rsidRPr="009E7EE7">
              <w:rPr>
                <w:rFonts w:ascii="Tahoma" w:eastAsia="Times New Roman" w:hAnsi="Tahoma" w:cs="Tahoma"/>
                <w:sz w:val="10"/>
                <w:szCs w:val="10"/>
              </w:rPr>
              <w:t>VALOR TOTAL</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45495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ADESIVO DE IDENTIFICAÇÃO IMPRESSO PARA VEÍCULOS COM APLICAÇÃO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155,63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ADESIVO EM IMPRESSÃO DIGITAL EM ALTA DEFINIÇÃO, FORMATO COM RECORTE COLORIDO, TAMANHO 25X25 CM, ARTE INCLUSA A DEFINIR. CADA TIRAGEM CONTERA NO MINIMO 50 UNIDADES DE ADESIVOS.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8,67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45454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ADESIVO EM IMPRESSÃO DIGITAL EM ALTA DEFINIÇÃO, FORMATO COM RECORTE COLORIDO, TAMANHO 25X25 CM, COM TEMAS VARIADOS DE ACORDO COM AS AÇÕES.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230,000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8,67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ADESIVO VINIL COM IMPRESSÃO DIGITAL</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145,33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47695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ALVARÁ SANITÁRIO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5,04</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47696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ATESTADO DE COMPARECIMENTO/AFASTAMENTO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16,10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47697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ATESTADO DE SAÚDE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12,57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47698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AUTO TERMO A - 03 VIAS BRANCA, AMARELA E AZUL - BLOCO C/ 100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30,33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47699</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AUTORIZAÇÃO PARA TRATAMENTO ODONTOLÓGICO E EXTRAÇÕES DENTARIAS - BLOCO C/ 50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22,35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45497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BANNER EM LONA COM IMPRESSO COM ACABAMENTO 1,00X1,40</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M</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229,91</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45453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BANNER IMPRESSÃO DIGITAL DE 110X150 CM, LONA 440GR, COM ARTE INCLUSA.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53,000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244,50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BANNER IMPRESSÃO DIGITAL EM LONA  DE 300G DE 110X150 CM, SEM EMENDA,</w:t>
            </w:r>
            <w:r w:rsidRPr="009E7EE7">
              <w:rPr>
                <w:rFonts w:ascii="Tahoma" w:eastAsia="Times New Roman" w:hAnsi="Tahoma" w:cs="Tahoma"/>
                <w:color w:val="000000"/>
                <w:sz w:val="14"/>
                <w:szCs w:val="14"/>
              </w:rPr>
              <w:br/>
              <w:t>ACABAMENTO COM BASTOES EM MADEIRA E COM PONTEIRAS PLASTICAS NAS EXTREMIDADES, COLORIDO, SENDO ARTES DIFERENTES PARA CADA EVENTO, DE ACORDO COM A SOLICITACAO. ARTE INCLUSA.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14,000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256,75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BANNER IMPRESSÃO DIGITAL EM LONA  DE 300G DE 200X200 CM, SEM EMENDA,</w:t>
            </w:r>
            <w:r w:rsidRPr="009E7EE7">
              <w:rPr>
                <w:rFonts w:ascii="Tahoma" w:eastAsia="Times New Roman" w:hAnsi="Tahoma" w:cs="Tahoma"/>
                <w:color w:val="000000"/>
                <w:sz w:val="14"/>
                <w:szCs w:val="14"/>
              </w:rPr>
              <w:br/>
              <w:t>ACABAMENTO COM BASTOES EM MADEIRA E COM PONTEIRAS PLASTICAS NAS EXTREMIDADES, COLORIDO, SENDO ARTES DIFERENTES PARA CADA EVENTO, DE ACORDO COM A SOLICITACAO. ARTE INCLUSA.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619,82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45501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BLOCO PARA REQUISIÇAO EM 2 VIAS PAPEL COPIATIVO, NUMERADOS.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23,03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47808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BLOCO REQUISIÇÃO DE COMBUSITVEL 02 VIAS, PAPEL COPIATIVO E NUMERADOS - BLOCO 50 FLS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21,36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BOLETIM DE CAMPO E LABORATÓRIO DO LEVANTAMENTO RÁPIDO DE ÍNDICES (LIRAA)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18,33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BOLETIM DE RECONHECIMENTO GEOGRÁFICO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21,95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BOLETIM DE REMESSA DE LARVAS PARA REVISÃO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24,60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BOLETIM DE SUPERVISÃO DE TRABALHO DE CAMPO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20,15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CADERNETA DE SAÚDE DA CRIANÇA (MENINA)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20,22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CADERNETA DE SAÚDE DA CRIANÇA (MENINO)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20,22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CARIMBO AUTOMATICO TRODAT 4911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54,000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67,07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CARIMBO AUTOMATICO TRODAT 4912</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36,000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81,53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CARIMBO AUTOMATICO TRODAT 4913</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88,00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CARIMBO AUTOMATICO TRODAT 4927</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104,90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11093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CARTÃO DE ATENDIMENTO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0,70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CARTÃO DE ATENDIMENTO FISIOTERAPIA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0,62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CARTÃO DO HIPERTENSO E DIABÉTICO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1,50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44117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CARTAZ -  TAMANHO A3, IMPRESSÃO 4X0, COR, PAPEL COUCHÊ 200G, COM FITA DUPLA FACE VERSO.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6,98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47820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CARTAZ 32X47CMPAPEL COUCHÊ 170G COM IMPRESSÃO COLORIDA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6,98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47819</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CARTAZ 46X64CM PAPEL COUCHÊ 170G COM IMPRESSÃO DIGITAL</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9,76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CARTAZ A3, TAMANHO 42X30 CM, PAPEL COUCHE BRILHO 150 G, CORES 4X0 INCLUSO ARTE FINAL, COM TEMAS VARIADOS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6,83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40337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CARTAZ, TAMANHO 30X45 CM, PAPEL COUCHE 150 G, COM FOTOLITO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6,98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46377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CONFECÇÃO DE PASTA EM CARTOLINA 240G COM IMPRESSÃO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3,22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KRAFT OURO 18X24 80G</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3.200,000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0,99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20X28CM 80G KRAFT OURO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3.200,000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0,78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AMARELO 24X34 TIMBRADO.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1,29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AMARELO 26X36 TIMBRADO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1,53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BRANCO 24X34 TIMBRADO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1,58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BRANCO, MEDINDO APROXIMADAMENTE 24X34CM, 80G KRAFT OURO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1,47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BRANCO, MEDINDO APROXIMADAMENTE 26X36CM 90G</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1,65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ENVELOPE OFÍCIO MEDINDO 11X22CM, 1X0</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1,97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ETIQUETA PARA REMESSA DE ESPÉCIMES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1,05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FAIXA (LONA 300GR) IMPRESSÃO DIGITAL,  DE 3.00X0,90CM, SEM EMENDA,</w:t>
            </w:r>
            <w:r w:rsidRPr="009E7EE7">
              <w:rPr>
                <w:rFonts w:ascii="Tahoma" w:eastAsia="Times New Roman" w:hAnsi="Tahoma" w:cs="Tahoma"/>
                <w:color w:val="000000"/>
                <w:sz w:val="14"/>
                <w:szCs w:val="14"/>
              </w:rPr>
              <w:br/>
              <w:t>ACABAMENTO COM BASTOES EM MADEIRA E COM PONTEIRAS PLASTICAS NAS EXTREMIDADES, COLORIDO, SENDO ARTES DIFERENTES PARA CADA EVENTO, DE ACORDO COM A SOLICITACAO.  COM ESCRITA E DESENHO, ARTE INCLUSA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456,88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42727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FAIXA (LONA 440GR) IMPRESSÃO DIGITAL, ILHÓS, DE 3.00X0,90CM, COM ESCRITA E DESENHO.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28,000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464,38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15116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FAIXA (LONA 440GR) IMPRESSÃO DIGITAL, ILHÓS, DE 600X100CM, COM ESCRITA E DESENHO.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957,56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CLÍNICA ODONTOLÓGICA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19,55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47709</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ATENDIMENTO INDIVIDUAL E-SUS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20,80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ATENDIMENTO ODONTOLÓGICO INDIVIDUAL E-SUS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20,90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ATIVIDADE COLETIVA E-SUS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11,85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CADASTRO DOMICILIAR E-SUS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18,98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CADASTRO INDIVIDUAL E-SUS,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18,80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47735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PROCEDIMENTOS E-SUS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10,76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REGISTRO DIÁRIO DO SERVIÇO ANTIVETORIAL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19,69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VISITA DOMICILIAR - BLOCO C/ 100 UNIDADES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20,28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DE VISITA DOMICILIAR E-SUS - BLOCO C/ 100 UNIDADES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13,61</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47718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GERAL DE ATENDIMENTO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16,33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09385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HISTÓRICA CLÍNICA - 100X1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15,61</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PARA INTERNAMENTO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19,43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47741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RESUMO DO RECONHECIMENTO PCFAD - (CONTROLE DE VETORES/)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22,08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FICHA RESUMO SEMANAL DO SERVIÇO ANTIVETORIAL - BLOCO C/ 100 FOLHAS (CONTROLE DE VETORES)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22,67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47809</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FOLDERS IMPRESSÃO FRENTE E VERSO COLORIDO, 21X30CM PAPEL COUCHÊ 115G</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2,77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49488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 xml:space="preserve">FOLDERS,  EM PAPEL COUCHE COM GRAMATURA DE  115GR, TAMANHO 29,7CM POR 21CM,  4X4, 2 DOBRAS, COLORIDO F/V </w:t>
            </w:r>
            <w:r w:rsidRPr="009E7EE7">
              <w:rPr>
                <w:rFonts w:ascii="Tahoma" w:eastAsia="Times New Roman" w:hAnsi="Tahoma" w:cs="Tahoma"/>
                <w:color w:val="000000"/>
                <w:sz w:val="14"/>
                <w:szCs w:val="14"/>
              </w:rPr>
              <w:br/>
              <w:t>ARTE INCLUSA A DEFINIR. CADA TIRAGEM CONTERA NO MINIMO 300 UNIDADES DE FOLDERS.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2,25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15117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FOLDERS, 22X31CM, PAPEL COUCHE 115GR, 4X4, 2 DOBRAS, COLORIDO F/V TAMANHO A4.</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2,85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FOLHA OFICIO TIMBRADO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21.000,000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0,60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FORMULÁRIO PARA PREENCHIMENTO PACIENTE - BLOCO C/ 100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23,30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45498</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IMPRESSÃO DE CERTIFICADO A4 IMPRESSÃO LASER COLOR</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5,10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INFORMATIVO COLORIDO 16 PAGINAS 30X45</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11,76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NOTIFICAÇÃO DE RECEITA ESPECIAL RETINÓIDES SISTÊMICOS - BLOCO C/ 50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35,88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47821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PANFLETO 15X21CM PAPEL COUCHÊ 115G COM IMPRESSÃO COLORIDA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3.000,000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0,62</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46359</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PASTA CARTOLINA 240G AZUL 1X0</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3,17</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PASTA EM PAPEL TRIPLEX COM IMPRESSÃO TIMBRADO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4,28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45500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PASTA PAPEL COUCHÊ BRANCA 300GR LAMINADA COM BRILHO, COM IMPRESSÃO CONFORME SOLICIADA.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5,34</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14653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PLOTAGEM TAMANHO A1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29,10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47811</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PLOTAGEM TAMANHO A2</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20,48</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47812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PLOTAGEM TAMANHO A4</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8,54</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RECEITA B1 AZUL - BLOCO COM 50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9,49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47725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RECEITA B2 AZUL - BLOCO COM 50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9,19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16696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RECEITUÁRIO CONTROLE ESPECIAL - 50X2/F18 (1ª VIA BRANCA E 2ª VIA AMARELA) - BLOCO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10,40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16695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RECEITUÁRIO CONTROLE ESPECIAL - 50X2/F18 (1ª VIA BRANCA E 2ª VIA AZUL) - BLOCO</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150,000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11,64</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09374</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RECEITUÁRIO PROFISSIONAL - 100X1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9,73</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46365</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REFIL PARA CARIMBO AUTOMATICO TRODAT 4911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75,000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23,55</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REFIL PARA CARIMBO AUTOMATICO TRODAT 4912</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28,49</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46367</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REFIL PARA CARIMBO AUTOMATICO TRODAT 4927</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60,000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35,00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09383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REQUISIÇÃO DE EXAMES - 100X1</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400,000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11,20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47730</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SOLICITAÇÃO DE SERVIÇO - FEBRE AMARELA E DENGUE - BLOCO C/ 100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19,50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47732</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TERMO DE CONHECIMENTOS DE RISCO E CONSENTIMENTO PÓS-INFORMAÇÃO PARA PACIENTES DO SEXO FEMININO MENORES DE 55 ANOS DE IDADE (ANEXO XV) - BLOCO C/ 100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37,86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47736</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TERMO DE CONHECIMENTOS DE RISCO E CONSENTIMENTO PÓS-INFORMAÇÃO PARA PACIENTES DO SEXO FEMININO MENORES DE 55 ANOS DE IDADE (ANEXO XVI) - BLOCO C/ 100 FOLHAS (VIGILÂNCIA SANITÁRIA)</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5,000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37,86</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47733</w:t>
            </w:r>
          </w:p>
        </w:tc>
        <w:tc>
          <w:tcPr>
            <w:tcW w:w="3376"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both"/>
              <w:rPr>
                <w:rFonts w:ascii="Tahoma" w:eastAsia="Times New Roman" w:hAnsi="Tahoma" w:cs="Tahoma"/>
                <w:color w:val="000000"/>
                <w:sz w:val="14"/>
                <w:szCs w:val="14"/>
              </w:rPr>
            </w:pPr>
            <w:r w:rsidRPr="009E7EE7">
              <w:rPr>
                <w:rFonts w:ascii="Tahoma" w:eastAsia="Times New Roman" w:hAnsi="Tahoma" w:cs="Tahoma"/>
                <w:color w:val="000000"/>
                <w:sz w:val="14"/>
                <w:szCs w:val="14"/>
              </w:rPr>
              <w:t>TERMO DE RESPONSABILIDADE DE CUIDADOS PÓS- OPERATÓRIO E RESTAURADORES - BLOCO C/ 50 FOLHAS</w:t>
            </w:r>
          </w:p>
        </w:tc>
        <w:tc>
          <w:tcPr>
            <w:tcW w:w="495"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18,80</w:t>
            </w:r>
          </w:p>
        </w:tc>
        <w:tc>
          <w:tcPr>
            <w:tcW w:w="111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center"/>
              <w:rPr>
                <w:rFonts w:ascii="Tahoma" w:eastAsia="Times New Roman" w:hAnsi="Tahoma" w:cs="Tahoma"/>
                <w:sz w:val="12"/>
                <w:szCs w:val="12"/>
              </w:rPr>
            </w:pPr>
            <w:r w:rsidRPr="009E7EE7">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b/>
                <w:bCs/>
                <w:color w:val="000000"/>
                <w:sz w:val="14"/>
                <w:szCs w:val="14"/>
              </w:rPr>
            </w:pPr>
            <w:r w:rsidRPr="009E7EE7">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E7EE7" w:rsidRPr="009E7EE7" w:rsidRDefault="009E7EE7" w:rsidP="009E7EE7">
            <w:pPr>
              <w:jc w:val="right"/>
              <w:rPr>
                <w:rFonts w:ascii="Tahoma" w:eastAsia="Times New Roman" w:hAnsi="Tahoma" w:cs="Tahoma"/>
                <w:b/>
                <w:bCs/>
                <w:sz w:val="14"/>
                <w:szCs w:val="14"/>
              </w:rPr>
            </w:pPr>
            <w:r w:rsidRPr="009E7EE7">
              <w:rPr>
                <w:rFonts w:ascii="Tahoma" w:eastAsia="Times New Roman" w:hAnsi="Tahoma" w:cs="Tahoma"/>
                <w:b/>
                <w:bCs/>
                <w:sz w:val="14"/>
                <w:szCs w:val="14"/>
              </w:rPr>
              <w:t>0,00</w:t>
            </w:r>
          </w:p>
        </w:tc>
      </w:tr>
      <w:tr w:rsidR="009E7EE7" w:rsidRPr="009E7EE7" w:rsidTr="009E7EE7">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7EE7" w:rsidRPr="009E7EE7" w:rsidRDefault="009E7EE7" w:rsidP="009E7EE7">
            <w:pPr>
              <w:jc w:val="right"/>
              <w:rPr>
                <w:rFonts w:ascii="Tahoma" w:eastAsia="Times New Roman" w:hAnsi="Tahoma" w:cs="Tahoma"/>
                <w:color w:val="000000"/>
                <w:sz w:val="14"/>
                <w:szCs w:val="14"/>
              </w:rPr>
            </w:pPr>
            <w:r w:rsidRPr="009E7EE7">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E7EE7" w:rsidRPr="009E7EE7" w:rsidRDefault="009E7EE7" w:rsidP="009E7EE7">
            <w:pPr>
              <w:jc w:val="center"/>
              <w:rPr>
                <w:rFonts w:ascii="Tahoma" w:eastAsia="Times New Roman" w:hAnsi="Tahoma" w:cs="Tahoma"/>
                <w:b/>
                <w:bCs/>
                <w:color w:val="000000"/>
                <w:sz w:val="16"/>
                <w:szCs w:val="16"/>
              </w:rPr>
            </w:pPr>
            <w:r w:rsidRPr="009E7EE7">
              <w:rPr>
                <w:rFonts w:ascii="Tahoma" w:eastAsia="Times New Roman" w:hAnsi="Tahoma" w:cs="Tahoma"/>
                <w:b/>
                <w:bCs/>
                <w:color w:val="000000"/>
                <w:sz w:val="16"/>
                <w:szCs w:val="16"/>
              </w:rPr>
              <w:t>R$ 0,00</w:t>
            </w:r>
          </w:p>
        </w:tc>
      </w:tr>
      <w:tr w:rsidR="009E7EE7" w:rsidRPr="009E7EE7" w:rsidTr="009E7EE7">
        <w:trPr>
          <w:trHeight w:val="180"/>
        </w:trPr>
        <w:tc>
          <w:tcPr>
            <w:tcW w:w="446" w:type="dxa"/>
            <w:tcBorders>
              <w:top w:val="nil"/>
              <w:left w:val="nil"/>
              <w:bottom w:val="nil"/>
              <w:right w:val="nil"/>
            </w:tcBorders>
            <w:shd w:val="clear" w:color="auto" w:fill="auto"/>
            <w:vAlign w:val="center"/>
            <w:hideMark/>
          </w:tcPr>
          <w:p w:rsidR="009E7EE7" w:rsidRPr="009E7EE7" w:rsidRDefault="009E7EE7" w:rsidP="009E7EE7">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9E7EE7" w:rsidRPr="009E7EE7" w:rsidRDefault="009E7EE7" w:rsidP="009E7EE7">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9E7EE7" w:rsidRPr="009E7EE7" w:rsidRDefault="009E7EE7" w:rsidP="009E7EE7">
            <w:pPr>
              <w:jc w:val="center"/>
              <w:rPr>
                <w:rFonts w:eastAsia="Times New Roman"/>
                <w:sz w:val="20"/>
                <w:szCs w:val="20"/>
              </w:rPr>
            </w:pPr>
          </w:p>
        </w:tc>
        <w:tc>
          <w:tcPr>
            <w:tcW w:w="3376" w:type="dxa"/>
            <w:tcBorders>
              <w:top w:val="nil"/>
              <w:left w:val="nil"/>
              <w:bottom w:val="nil"/>
              <w:right w:val="nil"/>
            </w:tcBorders>
            <w:shd w:val="clear" w:color="auto" w:fill="auto"/>
            <w:vAlign w:val="center"/>
            <w:hideMark/>
          </w:tcPr>
          <w:p w:rsidR="009E7EE7" w:rsidRPr="009E7EE7" w:rsidRDefault="009E7EE7" w:rsidP="009E7EE7">
            <w:pPr>
              <w:jc w:val="center"/>
              <w:rPr>
                <w:rFonts w:eastAsia="Times New Roman"/>
                <w:sz w:val="20"/>
                <w:szCs w:val="20"/>
              </w:rPr>
            </w:pPr>
          </w:p>
        </w:tc>
        <w:tc>
          <w:tcPr>
            <w:tcW w:w="495" w:type="dxa"/>
            <w:tcBorders>
              <w:top w:val="nil"/>
              <w:left w:val="nil"/>
              <w:bottom w:val="nil"/>
              <w:right w:val="nil"/>
            </w:tcBorders>
            <w:shd w:val="clear" w:color="auto" w:fill="auto"/>
            <w:vAlign w:val="center"/>
            <w:hideMark/>
          </w:tcPr>
          <w:p w:rsidR="009E7EE7" w:rsidRPr="009E7EE7" w:rsidRDefault="009E7EE7" w:rsidP="009E7EE7">
            <w:pPr>
              <w:jc w:val="both"/>
              <w:rPr>
                <w:rFonts w:eastAsia="Times New Roman"/>
                <w:sz w:val="20"/>
                <w:szCs w:val="20"/>
              </w:rPr>
            </w:pPr>
          </w:p>
        </w:tc>
        <w:tc>
          <w:tcPr>
            <w:tcW w:w="877" w:type="dxa"/>
            <w:tcBorders>
              <w:top w:val="nil"/>
              <w:left w:val="nil"/>
              <w:bottom w:val="nil"/>
              <w:right w:val="nil"/>
            </w:tcBorders>
            <w:shd w:val="clear" w:color="auto" w:fill="auto"/>
            <w:vAlign w:val="center"/>
            <w:hideMark/>
          </w:tcPr>
          <w:p w:rsidR="009E7EE7" w:rsidRPr="009E7EE7" w:rsidRDefault="009E7EE7" w:rsidP="009E7EE7">
            <w:pPr>
              <w:jc w:val="center"/>
              <w:rPr>
                <w:rFonts w:eastAsia="Times New Roman"/>
                <w:sz w:val="20"/>
                <w:szCs w:val="20"/>
              </w:rPr>
            </w:pPr>
          </w:p>
        </w:tc>
        <w:tc>
          <w:tcPr>
            <w:tcW w:w="824" w:type="dxa"/>
            <w:tcBorders>
              <w:top w:val="nil"/>
              <w:left w:val="nil"/>
              <w:bottom w:val="nil"/>
              <w:right w:val="nil"/>
            </w:tcBorders>
            <w:shd w:val="clear" w:color="auto" w:fill="auto"/>
            <w:vAlign w:val="center"/>
            <w:hideMark/>
          </w:tcPr>
          <w:p w:rsidR="009E7EE7" w:rsidRPr="009E7EE7" w:rsidRDefault="009E7EE7" w:rsidP="009E7EE7">
            <w:pPr>
              <w:jc w:val="right"/>
              <w:rPr>
                <w:rFonts w:eastAsia="Times New Roman"/>
                <w:sz w:val="20"/>
                <w:szCs w:val="20"/>
              </w:rPr>
            </w:pPr>
          </w:p>
        </w:tc>
        <w:tc>
          <w:tcPr>
            <w:tcW w:w="1110" w:type="dxa"/>
            <w:tcBorders>
              <w:top w:val="nil"/>
              <w:left w:val="nil"/>
              <w:bottom w:val="nil"/>
              <w:right w:val="nil"/>
            </w:tcBorders>
            <w:shd w:val="clear" w:color="auto" w:fill="auto"/>
            <w:vAlign w:val="center"/>
            <w:hideMark/>
          </w:tcPr>
          <w:p w:rsidR="009E7EE7" w:rsidRPr="009E7EE7" w:rsidRDefault="009E7EE7" w:rsidP="009E7EE7">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9E7EE7" w:rsidRPr="009E7EE7" w:rsidRDefault="009E7EE7" w:rsidP="009E7EE7">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9E7EE7" w:rsidRPr="009E7EE7" w:rsidRDefault="009E7EE7" w:rsidP="009E7EE7">
            <w:pPr>
              <w:jc w:val="right"/>
              <w:rPr>
                <w:rFonts w:eastAsia="Times New Roman"/>
                <w:sz w:val="20"/>
                <w:szCs w:val="20"/>
              </w:rPr>
            </w:pPr>
          </w:p>
        </w:tc>
      </w:tr>
      <w:tr w:rsidR="009E7EE7" w:rsidRPr="009E7EE7" w:rsidTr="009E7EE7">
        <w:trPr>
          <w:trHeight w:val="1699"/>
        </w:trPr>
        <w:tc>
          <w:tcPr>
            <w:tcW w:w="608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E7EE7" w:rsidRPr="009E7EE7" w:rsidRDefault="009E7EE7" w:rsidP="009E7EE7">
            <w:pPr>
              <w:jc w:val="both"/>
              <w:rPr>
                <w:rFonts w:ascii="Tahoma" w:eastAsia="Times New Roman" w:hAnsi="Tahoma" w:cs="Tahoma"/>
                <w:color w:val="000000"/>
                <w:sz w:val="16"/>
                <w:szCs w:val="16"/>
              </w:rPr>
            </w:pPr>
            <w:r w:rsidRPr="009E7EE7">
              <w:rPr>
                <w:rFonts w:ascii="Tahoma" w:eastAsia="Times New Roman" w:hAnsi="Tahoma" w:cs="Tahoma"/>
                <w:color w:val="000000"/>
                <w:sz w:val="16"/>
                <w:szCs w:val="16"/>
              </w:rPr>
              <w:t>Declaro que examinei, conheço e me submeto a todas as condições contidas no Edital da presente Licitação modalidade PREGÃO PRESENCIAL Nº 0007/2024,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CARIMBO CNPJ</w:t>
            </w:r>
          </w:p>
        </w:tc>
      </w:tr>
      <w:tr w:rsidR="009E7EE7" w:rsidRPr="009E7EE7" w:rsidTr="009E7EE7">
        <w:trPr>
          <w:trHeight w:val="600"/>
        </w:trPr>
        <w:tc>
          <w:tcPr>
            <w:tcW w:w="608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E7EE7" w:rsidRPr="009E7EE7" w:rsidRDefault="009E7EE7" w:rsidP="009E7EE7">
            <w:pPr>
              <w:jc w:val="center"/>
              <w:rPr>
                <w:rFonts w:ascii="Tahoma" w:eastAsia="Times New Roman" w:hAnsi="Tahoma" w:cs="Tahoma"/>
                <w:color w:val="000000"/>
                <w:sz w:val="14"/>
                <w:szCs w:val="14"/>
              </w:rPr>
            </w:pPr>
            <w:r w:rsidRPr="009E7EE7">
              <w:rPr>
                <w:rFonts w:ascii="Tahoma" w:eastAsia="Times New Roman" w:hAnsi="Tahoma" w:cs="Tahoma"/>
                <w:color w:val="000000"/>
                <w:sz w:val="14"/>
                <w:szCs w:val="14"/>
              </w:rPr>
              <w:t>NOME E ASSINATURA</w:t>
            </w:r>
          </w:p>
        </w:tc>
        <w:tc>
          <w:tcPr>
            <w:tcW w:w="3734" w:type="dxa"/>
            <w:gridSpan w:val="4"/>
            <w:vMerge/>
            <w:tcBorders>
              <w:top w:val="single" w:sz="4" w:space="0" w:color="000000"/>
              <w:left w:val="single" w:sz="4" w:space="0" w:color="000000"/>
              <w:bottom w:val="single" w:sz="4" w:space="0" w:color="000000"/>
              <w:right w:val="single" w:sz="4" w:space="0" w:color="000000"/>
            </w:tcBorders>
            <w:vAlign w:val="center"/>
            <w:hideMark/>
          </w:tcPr>
          <w:p w:rsidR="009E7EE7" w:rsidRPr="009E7EE7" w:rsidRDefault="009E7EE7" w:rsidP="009E7EE7">
            <w:pPr>
              <w:rPr>
                <w:rFonts w:ascii="Tahoma" w:eastAsia="Times New Roman" w:hAnsi="Tahoma" w:cs="Tahoma"/>
                <w:color w:val="000000"/>
                <w:sz w:val="14"/>
                <w:szCs w:val="14"/>
              </w:rPr>
            </w:pPr>
          </w:p>
        </w:tc>
      </w:tr>
    </w:tbl>
    <w:p w:rsidR="009E7EE7" w:rsidRDefault="009E7EE7" w:rsidP="000B2233">
      <w:pPr>
        <w:jc w:val="center"/>
        <w:rPr>
          <w:rFonts w:ascii="Arial" w:hAnsi="Arial"/>
          <w:b/>
          <w:sz w:val="22"/>
          <w:szCs w:val="22"/>
        </w:rPr>
      </w:pPr>
    </w:p>
    <w:p w:rsidR="0006176C" w:rsidRDefault="0006176C" w:rsidP="000B2233">
      <w:pPr>
        <w:jc w:val="center"/>
        <w:rPr>
          <w:rFonts w:ascii="Arial" w:hAnsi="Arial"/>
          <w:b/>
          <w:sz w:val="22"/>
          <w:szCs w:val="22"/>
        </w:rPr>
      </w:pPr>
    </w:p>
    <w:p w:rsidR="000B2233" w:rsidRDefault="000B2233" w:rsidP="000B2233">
      <w:pPr>
        <w:rPr>
          <w:rFonts w:ascii="Arial" w:hAnsi="Arial"/>
          <w:sz w:val="22"/>
          <w:szCs w:val="22"/>
        </w:rPr>
      </w:pPr>
    </w:p>
    <w:p w:rsidR="000B2233" w:rsidRDefault="000B2233" w:rsidP="000B2233">
      <w:pPr>
        <w:rPr>
          <w:rFonts w:ascii="Arial" w:hAnsi="Arial"/>
          <w:sz w:val="22"/>
          <w:szCs w:val="22"/>
        </w:rPr>
      </w:pPr>
    </w:p>
    <w:p w:rsidR="000B2233" w:rsidRDefault="000B2233"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p>
    <w:p w:rsidR="009E7EE7" w:rsidRDefault="009E7EE7" w:rsidP="000B2233">
      <w:pPr>
        <w:rPr>
          <w:rFonts w:ascii="Arial" w:eastAsia="Helvetica" w:hAnsi="Arial"/>
          <w:b/>
          <w:bCs/>
          <w:color w:val="FF0000"/>
          <w:szCs w:val="22"/>
        </w:rPr>
      </w:pPr>
      <w:bookmarkStart w:id="13" w:name="_GoBack"/>
      <w:bookmarkEnd w:id="13"/>
    </w:p>
    <w:p w:rsidR="000B2233" w:rsidRPr="00335483" w:rsidRDefault="000B2233" w:rsidP="000B2233">
      <w:pPr>
        <w:rPr>
          <w:rFonts w:ascii="Arial" w:hAnsi="Arial"/>
          <w:b/>
        </w:rPr>
      </w:pPr>
    </w:p>
    <w:p w:rsidR="000B2233" w:rsidRPr="00335483" w:rsidRDefault="000B22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01</w:t>
      </w:r>
      <w:r w:rsidR="00857741">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857741">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01</w:t>
      </w:r>
      <w:r w:rsidR="00857741">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857741">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01</w:t>
      </w:r>
      <w:r w:rsidR="00857741">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00</w:t>
      </w:r>
      <w:r w:rsidR="00857741">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01</w:t>
      </w:r>
      <w:r w:rsidR="00857741">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00</w:t>
      </w:r>
      <w:r w:rsidR="00857741">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00</w:t>
      </w:r>
      <w:r w:rsidR="00CB59EF">
        <w:rPr>
          <w:rFonts w:ascii="Arial" w:hAnsi="Arial"/>
          <w:b/>
          <w:sz w:val="22"/>
          <w:szCs w:val="22"/>
        </w:rPr>
        <w:t>7</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BA8" w:rsidRDefault="00FD3BA8">
      <w:r>
        <w:separator/>
      </w:r>
    </w:p>
  </w:endnote>
  <w:endnote w:type="continuationSeparator" w:id="0">
    <w:p w:rsidR="00FD3BA8" w:rsidRDefault="00FD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Pr="007B2033" w:rsidRDefault="00FD3BA8"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3BA8" w:rsidRPr="007B2033" w:rsidRDefault="00FD3BA8"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D3BA8" w:rsidRDefault="00FD3BA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Pr="005254A7" w:rsidRDefault="00FD3BA8"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FD3BA8" w:rsidRPr="005254A7" w:rsidRDefault="00FD3BA8" w:rsidP="000B2233">
    <w:pPr>
      <w:pStyle w:val="Rodap"/>
      <w:jc w:val="center"/>
      <w:rPr>
        <w:color w:val="1F4E79" w:themeColor="accent1" w:themeShade="80"/>
      </w:rPr>
    </w:pPr>
    <w:r w:rsidRPr="005254A7">
      <w:rPr>
        <w:color w:val="1F4E79" w:themeColor="accent1" w:themeShade="80"/>
      </w:rPr>
      <w:t>CNPJ: 15.905.342/0001-28</w:t>
    </w:r>
  </w:p>
  <w:p w:rsidR="00FD3BA8" w:rsidRPr="005254A7" w:rsidRDefault="00FD3BA8"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Pr="007B2033" w:rsidRDefault="00FD3BA8"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D3BA8" w:rsidRPr="007B2033" w:rsidRDefault="00FD3BA8"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BA8" w:rsidRDefault="00FD3BA8">
      <w:r>
        <w:separator/>
      </w:r>
    </w:p>
  </w:footnote>
  <w:footnote w:type="continuationSeparator" w:id="0">
    <w:p w:rsidR="00FD3BA8" w:rsidRDefault="00FD3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Pr="00A47371" w:rsidRDefault="00FD3BA8"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3BA8" w:rsidRPr="00A47371" w:rsidRDefault="00FD3BA8"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3BA8" w:rsidRDefault="00FD3BA8"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3BA8" w:rsidRDefault="00FD3BA8" w:rsidP="000B2233">
    <w:pPr>
      <w:pStyle w:val="Cabealho"/>
      <w:tabs>
        <w:tab w:val="clear" w:pos="4252"/>
        <w:tab w:val="clear" w:pos="8504"/>
      </w:tabs>
      <w:ind w:firstLine="1026"/>
      <w:rPr>
        <w:rFonts w:ascii="Verdana" w:hAnsi="Verdana" w:cs="Arial"/>
        <w:sz w:val="2"/>
        <w:szCs w:val="2"/>
      </w:rPr>
    </w:pPr>
  </w:p>
  <w:p w:rsidR="00FD3BA8" w:rsidRDefault="00FD3BA8" w:rsidP="000B2233">
    <w:pPr>
      <w:pStyle w:val="Cabealho"/>
      <w:tabs>
        <w:tab w:val="clear" w:pos="4252"/>
        <w:tab w:val="clear" w:pos="8504"/>
        <w:tab w:val="left" w:pos="7890"/>
      </w:tabs>
      <w:rPr>
        <w:rFonts w:ascii="Verdana" w:hAnsi="Verdana" w:cs="Arial"/>
        <w:sz w:val="2"/>
        <w:szCs w:val="2"/>
      </w:rPr>
    </w:pPr>
  </w:p>
  <w:p w:rsidR="00FD3BA8" w:rsidRDefault="00FD3BA8"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3BA8" w:rsidRPr="009027E7" w:rsidRDefault="00FD3BA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D3BA8" w:rsidRPr="009027E7" w:rsidRDefault="00FD3BA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3BA8" w:rsidRPr="00F46F6A" w:rsidRDefault="00FD3BA8"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D3BA8" w:rsidRPr="00C90181" w:rsidRDefault="00FD3BA8">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Default="00FD3BA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Default="00FD3BA8"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D3BA8" w:rsidRDefault="00FD3BA8" w:rsidP="000B2233">
    <w:pPr>
      <w:pStyle w:val="Cabealho"/>
      <w:jc w:val="center"/>
    </w:pPr>
  </w:p>
  <w:p w:rsidR="00FD3BA8" w:rsidRPr="00031BF1" w:rsidRDefault="00FD3BA8"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Default="00FD3BA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A8" w:rsidRPr="00A47371" w:rsidRDefault="00FD3BA8"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3BA8" w:rsidRPr="00A47371" w:rsidRDefault="00FD3BA8"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3BA8" w:rsidRDefault="00FD3BA8"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3BA8" w:rsidRDefault="00FD3BA8" w:rsidP="000B2233">
    <w:pPr>
      <w:pStyle w:val="Cabealho"/>
      <w:tabs>
        <w:tab w:val="clear" w:pos="4252"/>
        <w:tab w:val="clear" w:pos="8504"/>
      </w:tabs>
      <w:ind w:firstLine="1026"/>
      <w:rPr>
        <w:rFonts w:ascii="Verdana" w:hAnsi="Verdana" w:cs="Arial"/>
        <w:sz w:val="2"/>
        <w:szCs w:val="2"/>
      </w:rPr>
    </w:pPr>
  </w:p>
  <w:p w:rsidR="00FD3BA8" w:rsidRDefault="00FD3BA8" w:rsidP="000B2233">
    <w:pPr>
      <w:pStyle w:val="Cabealho"/>
      <w:tabs>
        <w:tab w:val="clear" w:pos="4252"/>
        <w:tab w:val="clear" w:pos="8504"/>
        <w:tab w:val="left" w:pos="7890"/>
      </w:tabs>
      <w:rPr>
        <w:rFonts w:ascii="Verdana" w:hAnsi="Verdana" w:cs="Arial"/>
        <w:sz w:val="2"/>
        <w:szCs w:val="2"/>
      </w:rPr>
    </w:pPr>
  </w:p>
  <w:p w:rsidR="00FD3BA8" w:rsidRDefault="00FD3BA8"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3BA8" w:rsidRPr="009027E7" w:rsidRDefault="00FD3BA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D3BA8" w:rsidRPr="009027E7" w:rsidRDefault="00FD3BA8"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3BA8" w:rsidRPr="00F46F6A" w:rsidRDefault="00FD3BA8"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D3BA8" w:rsidRPr="00957509" w:rsidRDefault="00FD3BA8"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52151"/>
    <w:rsid w:val="00421E76"/>
    <w:rsid w:val="00422FB3"/>
    <w:rsid w:val="005C6454"/>
    <w:rsid w:val="005D7091"/>
    <w:rsid w:val="00672939"/>
    <w:rsid w:val="006B32D3"/>
    <w:rsid w:val="00730F2D"/>
    <w:rsid w:val="00856061"/>
    <w:rsid w:val="00857741"/>
    <w:rsid w:val="00971133"/>
    <w:rsid w:val="009D3FBE"/>
    <w:rsid w:val="009E7EE7"/>
    <w:rsid w:val="00A65168"/>
    <w:rsid w:val="00B752DA"/>
    <w:rsid w:val="00CB59EF"/>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FE83"/>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49</Pages>
  <Words>17957</Words>
  <Characters>96974</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2024-03-13T13:01:00Z</dcterms:created>
  <dcterms:modified xsi:type="dcterms:W3CDTF">2024-03-13T14:03:00Z</dcterms:modified>
</cp:coreProperties>
</file>