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762B8A">
        <w:rPr>
          <w:rFonts w:ascii="Verdana" w:hAnsi="Verdana" w:cs="Tahoma"/>
          <w:b/>
          <w:sz w:val="20"/>
          <w:szCs w:val="20"/>
        </w:rPr>
        <w:t>1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762B8A">
        <w:rPr>
          <w:rFonts w:ascii="Verdana" w:hAnsi="Verdana" w:cs="Tahoma"/>
          <w:sz w:val="20"/>
          <w:szCs w:val="20"/>
        </w:rPr>
        <w:t xml:space="preserve"> </w:t>
      </w:r>
      <w:r w:rsidR="00762B8A" w:rsidRPr="00762B8A">
        <w:rPr>
          <w:rFonts w:ascii="Verdana" w:hAnsi="Verdana" w:cs="Tahoma"/>
          <w:b/>
          <w:sz w:val="20"/>
          <w:szCs w:val="20"/>
        </w:rPr>
        <w:t xml:space="preserve">CIOCCA &amp; PASE LTDA - </w:t>
      </w:r>
      <w:proofErr w:type="gramStart"/>
      <w:r w:rsidR="00762B8A" w:rsidRPr="00762B8A">
        <w:rPr>
          <w:rFonts w:ascii="Verdana" w:hAnsi="Verdana" w:cs="Tahoma"/>
          <w:b/>
          <w:sz w:val="20"/>
          <w:szCs w:val="20"/>
        </w:rPr>
        <w:t>ME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762B8A">
        <w:rPr>
          <w:rFonts w:ascii="Verdana" w:hAnsi="Verdana" w:cs="Tahoma"/>
          <w:sz w:val="20"/>
          <w:szCs w:val="20"/>
        </w:rPr>
        <w:t xml:space="preserve"> </w:t>
      </w:r>
      <w:r w:rsidR="00762B8A">
        <w:rPr>
          <w:rFonts w:ascii="Verdana" w:hAnsi="Verdana" w:cs="Tahoma"/>
          <w:b/>
          <w:sz w:val="20"/>
          <w:szCs w:val="20"/>
        </w:rPr>
        <w:t>CIOCCA &amp; PASE LTDA -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762B8A">
        <w:rPr>
          <w:rFonts w:ascii="Verdana" w:hAnsi="Verdana" w:cs="Tahoma"/>
          <w:sz w:val="20"/>
          <w:szCs w:val="20"/>
        </w:rPr>
        <w:t>04.452.622/0001-01</w:t>
      </w:r>
      <w:r w:rsidRPr="004C091E">
        <w:rPr>
          <w:rFonts w:ascii="Verdana" w:hAnsi="Verdana" w:cs="Tahoma"/>
          <w:sz w:val="20"/>
          <w:szCs w:val="20"/>
        </w:rPr>
        <w:t>, End.</w:t>
      </w:r>
      <w:r w:rsidR="00762B8A">
        <w:rPr>
          <w:rFonts w:ascii="Verdana" w:hAnsi="Verdana" w:cs="Tahoma"/>
          <w:sz w:val="20"/>
          <w:szCs w:val="20"/>
        </w:rPr>
        <w:t xml:space="preserve"> Av. Brasil, nº 1.001 – Centro, nesta cidade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762B8A" w:rsidRPr="00762B8A">
        <w:rPr>
          <w:rFonts w:ascii="Verdana" w:hAnsi="Verdana" w:cs="Tahoma"/>
          <w:b/>
          <w:sz w:val="20"/>
          <w:szCs w:val="20"/>
        </w:rPr>
        <w:t>IVAN CARLOS CIOCCA</w:t>
      </w:r>
      <w:r w:rsidRPr="00564004">
        <w:rPr>
          <w:rFonts w:ascii="Verdana" w:hAnsi="Verdana" w:cs="Tahoma"/>
          <w:sz w:val="20"/>
          <w:szCs w:val="20"/>
        </w:rPr>
        <w:t xml:space="preserve">, residente e domiciliado na </w:t>
      </w:r>
      <w:r w:rsidR="00762B8A">
        <w:rPr>
          <w:rFonts w:ascii="Verdana" w:hAnsi="Verdana" w:cs="Tahoma"/>
          <w:sz w:val="20"/>
          <w:szCs w:val="20"/>
        </w:rPr>
        <w:t>Rua Mato Grosso, nº 1.336 – Centro, nesta cidade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portador do RG n°</w:t>
      </w:r>
      <w:r w:rsidR="00762B8A">
        <w:rPr>
          <w:rFonts w:ascii="Verdana" w:hAnsi="Verdana" w:cs="Tahoma"/>
          <w:sz w:val="20"/>
          <w:szCs w:val="20"/>
        </w:rPr>
        <w:t xml:space="preserve"> 14.069.283 SSP/SP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762B8A">
        <w:rPr>
          <w:rFonts w:ascii="Verdana" w:hAnsi="Verdana" w:cs="Tahoma"/>
          <w:sz w:val="20"/>
          <w:szCs w:val="20"/>
        </w:rPr>
        <w:t>057.025.108-79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de 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gêneros alimentícios, </w:t>
      </w:r>
      <w:r w:rsidR="00B17709">
        <w:rPr>
          <w:rFonts w:ascii="Verdana" w:hAnsi="Verdana" w:cs="Tahoma"/>
          <w:b/>
          <w:sz w:val="20"/>
          <w:szCs w:val="20"/>
        </w:rPr>
        <w:t xml:space="preserve">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762B8A">
        <w:rPr>
          <w:rFonts w:ascii="Verdana" w:hAnsi="Verdana" w:cs="Tahoma"/>
          <w:b/>
          <w:sz w:val="20"/>
          <w:szCs w:val="20"/>
        </w:rPr>
        <w:t xml:space="preserve"> 12.923,00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762B8A">
        <w:rPr>
          <w:rFonts w:ascii="Verdana" w:hAnsi="Verdana" w:cs="Tahoma"/>
          <w:sz w:val="20"/>
          <w:szCs w:val="20"/>
        </w:rPr>
        <w:t>doze mil novecentos e vinte e três reais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07.02.08.244.407-2.035.129000.3.3.90.30.00.000</w:t>
      </w:r>
    </w:p>
    <w:p w:rsidR="00B17709" w:rsidRPr="00DA467C" w:rsidRDefault="002853ED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B17709">
        <w:rPr>
          <w:rFonts w:ascii="Verdana" w:hAnsi="Verdana" w:cs="Tahoma"/>
          <w:sz w:val="20"/>
          <w:szCs w:val="20"/>
        </w:rPr>
        <w:t xml:space="preserve">          07.02.08.244.407-2.034.129000.3.3.90.30.00.000</w:t>
      </w:r>
    </w:p>
    <w:p w:rsidR="00B17709" w:rsidRPr="00DA467C" w:rsidRDefault="002853ED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B17709" w:rsidRPr="00DA467C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 xml:space="preserve">   </w:t>
      </w:r>
      <w:r w:rsidR="00B17709" w:rsidRPr="00DA467C">
        <w:rPr>
          <w:rFonts w:ascii="Verdana" w:hAnsi="Verdana" w:cs="Tahoma"/>
          <w:sz w:val="20"/>
          <w:szCs w:val="20"/>
        </w:rPr>
        <w:t>Fonte: Recurso Federal</w:t>
      </w:r>
      <w:proofErr w:type="gramStart"/>
      <w:r w:rsidR="00B17709">
        <w:rPr>
          <w:rFonts w:ascii="Verdana" w:hAnsi="Verdana" w:cs="Tahoma"/>
          <w:sz w:val="20"/>
          <w:szCs w:val="20"/>
        </w:rPr>
        <w:t>, Recuso</w:t>
      </w:r>
      <w:proofErr w:type="gramEnd"/>
      <w:r w:rsidR="00B17709">
        <w:rPr>
          <w:rFonts w:ascii="Verdana" w:hAnsi="Verdana" w:cs="Tahoma"/>
          <w:sz w:val="20"/>
          <w:szCs w:val="20"/>
        </w:rPr>
        <w:t xml:space="preserve"> Estadual</w:t>
      </w:r>
      <w:r w:rsidR="00B17709"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  <w:r w:rsidRPr="004C091E">
        <w:rPr>
          <w:rFonts w:ascii="Verdana" w:hAnsi="Verdana" w:cs="Tahoma"/>
          <w:sz w:val="20"/>
          <w:szCs w:val="20"/>
        </w:rPr>
        <w:lastRenderedPageBreak/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r w:rsidR="00762B8A">
        <w:rPr>
          <w:rFonts w:ascii="Verdana" w:hAnsi="Verdana" w:cs="Tahoma"/>
          <w:b/>
          <w:sz w:val="20"/>
          <w:szCs w:val="20"/>
        </w:rPr>
        <w:t xml:space="preserve">Ivan Carlos </w:t>
      </w:r>
      <w:proofErr w:type="spellStart"/>
      <w:r w:rsidR="00762B8A">
        <w:rPr>
          <w:rFonts w:ascii="Verdana" w:hAnsi="Verdana" w:cs="Tahoma"/>
          <w:b/>
          <w:sz w:val="20"/>
          <w:szCs w:val="20"/>
        </w:rPr>
        <w:t>Ciocca</w:t>
      </w:r>
      <w:proofErr w:type="spellEnd"/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762B8A">
        <w:rPr>
          <w:rFonts w:ascii="Verdana" w:hAnsi="Verdana" w:cs="Tahoma"/>
          <w:sz w:val="20"/>
          <w:szCs w:val="20"/>
        </w:rPr>
        <w:t xml:space="preserve"> 057.025.108-79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853ED"/>
    <w:rsid w:val="002B1FAB"/>
    <w:rsid w:val="00363788"/>
    <w:rsid w:val="00386C27"/>
    <w:rsid w:val="003A0D87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E611F"/>
    <w:rsid w:val="00730DDE"/>
    <w:rsid w:val="007427FB"/>
    <w:rsid w:val="00762B8A"/>
    <w:rsid w:val="00766F6D"/>
    <w:rsid w:val="00785CA3"/>
    <w:rsid w:val="007B3D1B"/>
    <w:rsid w:val="007D145C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441B"/>
    <w:rsid w:val="00A61CEF"/>
    <w:rsid w:val="00AD2E2C"/>
    <w:rsid w:val="00AD4C6C"/>
    <w:rsid w:val="00AF1FE0"/>
    <w:rsid w:val="00B17709"/>
    <w:rsid w:val="00B72AD2"/>
    <w:rsid w:val="00C01C35"/>
    <w:rsid w:val="00C40295"/>
    <w:rsid w:val="00C808A1"/>
    <w:rsid w:val="00CC5858"/>
    <w:rsid w:val="00CF37DE"/>
    <w:rsid w:val="00D253AC"/>
    <w:rsid w:val="00D62400"/>
    <w:rsid w:val="00DE0C5D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1141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7424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4</cp:revision>
  <cp:lastPrinted>2010-02-03T14:58:00Z</cp:lastPrinted>
  <dcterms:created xsi:type="dcterms:W3CDTF">2014-05-09T14:21:00Z</dcterms:created>
  <dcterms:modified xsi:type="dcterms:W3CDTF">2014-05-12T12:34:00Z</dcterms:modified>
</cp:coreProperties>
</file>