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685EC4">
        <w:rPr>
          <w:rFonts w:ascii="Verdana" w:hAnsi="Verdana" w:cs="Tahoma"/>
          <w:b/>
          <w:sz w:val="20"/>
          <w:szCs w:val="20"/>
        </w:rPr>
        <w:t>7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685EC4">
        <w:rPr>
          <w:rFonts w:ascii="Verdana" w:hAnsi="Verdana" w:cs="Tahoma"/>
          <w:sz w:val="20"/>
          <w:szCs w:val="20"/>
        </w:rPr>
        <w:t xml:space="preserve"> </w:t>
      </w:r>
      <w:r w:rsidR="00685EC4">
        <w:rPr>
          <w:rFonts w:ascii="Verdana" w:hAnsi="Verdana" w:cs="Tahoma"/>
          <w:b/>
          <w:sz w:val="20"/>
          <w:szCs w:val="20"/>
        </w:rPr>
        <w:t>V.I. MÁQUINAS E EQUIPAMENTOS LTDA - ME</w:t>
      </w:r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85EC4">
        <w:rPr>
          <w:rFonts w:ascii="Verdana" w:hAnsi="Verdana" w:cs="Tahoma"/>
          <w:sz w:val="20"/>
          <w:szCs w:val="20"/>
        </w:rPr>
        <w:t xml:space="preserve"> </w:t>
      </w:r>
      <w:r w:rsidR="00685EC4">
        <w:rPr>
          <w:rFonts w:ascii="Verdana" w:hAnsi="Verdana" w:cs="Tahoma"/>
          <w:b/>
          <w:sz w:val="20"/>
          <w:szCs w:val="20"/>
        </w:rPr>
        <w:t>V.I. MÁQUINAS E EQUIPAMENTOS LTDA - ME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685EC4">
        <w:rPr>
          <w:rFonts w:ascii="Verdana" w:hAnsi="Verdana" w:cs="Tahoma"/>
          <w:sz w:val="20"/>
          <w:szCs w:val="20"/>
        </w:rPr>
        <w:t>15.766.775/0001-40</w:t>
      </w:r>
      <w:r w:rsidRPr="004C091E">
        <w:rPr>
          <w:rFonts w:ascii="Verdana" w:hAnsi="Verdana" w:cs="Tahoma"/>
          <w:sz w:val="20"/>
          <w:szCs w:val="20"/>
        </w:rPr>
        <w:t>, End.</w:t>
      </w:r>
      <w:r w:rsidR="00685EC4">
        <w:rPr>
          <w:rFonts w:ascii="Verdana" w:hAnsi="Verdana" w:cs="Tahoma"/>
          <w:sz w:val="20"/>
          <w:szCs w:val="20"/>
        </w:rPr>
        <w:t xml:space="preserve"> Av. Presidente Castelo Branco, nº 380 “Sala 03” – Centro, na cidade de Terra Roxa/PR, CEP: 85.990-000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REPRESENTANTES: Representa a CONTRATANTE a Sra. Prefeita Municipal, Sra. Mar</w:t>
      </w:r>
      <w:r>
        <w:rPr>
          <w:rFonts w:ascii="Verdana" w:hAnsi="Verdana" w:cs="Tahoma"/>
          <w:sz w:val="20"/>
          <w:szCs w:val="20"/>
        </w:rPr>
        <w:t xml:space="preserve">ta Maria de Araujo,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685EC4">
        <w:rPr>
          <w:rFonts w:ascii="Verdana" w:hAnsi="Verdana" w:cs="Tahoma"/>
          <w:b/>
          <w:sz w:val="20"/>
          <w:szCs w:val="20"/>
        </w:rPr>
        <w:t>MANOEL EPIFANIO DE SOUZA NETO</w:t>
      </w:r>
      <w:r w:rsidRPr="00564004">
        <w:rPr>
          <w:rFonts w:ascii="Verdana" w:hAnsi="Verdana" w:cs="Tahoma"/>
          <w:sz w:val="20"/>
          <w:szCs w:val="20"/>
        </w:rPr>
        <w:t>, residente e domiciliado na Rua</w:t>
      </w:r>
      <w:r w:rsidR="00685EC4">
        <w:rPr>
          <w:rFonts w:ascii="Verdana" w:hAnsi="Verdana" w:cs="Tahoma"/>
          <w:sz w:val="20"/>
          <w:szCs w:val="20"/>
        </w:rPr>
        <w:t xml:space="preserve"> Luiz Sérgio Fedrigo, nº 028 – Jardim Europa, na cidade de Terra Roxa/PR, CEP: 85.990-000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portador do RG n°</w:t>
      </w:r>
      <w:r w:rsidR="00685EC4">
        <w:rPr>
          <w:rFonts w:ascii="Verdana" w:hAnsi="Verdana" w:cs="Tahoma"/>
          <w:sz w:val="20"/>
          <w:szCs w:val="20"/>
        </w:rPr>
        <w:t xml:space="preserve"> 3.824.876-6 SSP/PR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685EC4">
        <w:rPr>
          <w:rFonts w:ascii="Verdana" w:hAnsi="Verdana" w:cs="Tahoma"/>
          <w:sz w:val="20"/>
          <w:szCs w:val="20"/>
        </w:rPr>
        <w:t>884.504.819-53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>aquisição de material permanente (equipamentos de informática)</w:t>
      </w:r>
      <w:r w:rsidR="00883D3F">
        <w:rPr>
          <w:rFonts w:ascii="Verdana" w:hAnsi="Verdana" w:cs="Tahoma"/>
          <w:b/>
          <w:sz w:val="20"/>
          <w:szCs w:val="20"/>
        </w:rPr>
        <w:t xml:space="preserve"> e materiais de expediente e papelaria</w:t>
      </w:r>
      <w:r w:rsidR="00B17709">
        <w:rPr>
          <w:rFonts w:ascii="Verdana" w:hAnsi="Verdana" w:cs="Tahoma"/>
          <w:b/>
          <w:sz w:val="20"/>
          <w:szCs w:val="20"/>
        </w:rPr>
        <w:t>, para atender as necessidades dos Programas Cras, Creas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contratada, ficará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licitados até o término do contrato a ser firmado, não obriga o Município a requisitá-los nem gera </w:t>
      </w:r>
      <w:r w:rsidRPr="004C091E">
        <w:rPr>
          <w:rFonts w:ascii="Verdana" w:hAnsi="Verdana" w:cs="Tahoma"/>
          <w:b/>
          <w:sz w:val="20"/>
          <w:szCs w:val="20"/>
          <w:u w:val="single"/>
        </w:rPr>
        <w:lastRenderedPageBreak/>
        <w:t>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685EC4">
        <w:rPr>
          <w:rFonts w:ascii="Verdana" w:hAnsi="Verdana" w:cs="Tahoma"/>
          <w:b/>
          <w:sz w:val="20"/>
          <w:szCs w:val="20"/>
        </w:rPr>
        <w:t xml:space="preserve"> 14.202,00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685EC4">
        <w:rPr>
          <w:rFonts w:ascii="Verdana" w:hAnsi="Verdana" w:cs="Tahoma"/>
          <w:sz w:val="20"/>
          <w:szCs w:val="20"/>
        </w:rPr>
        <w:t>quatorze mil duzentos e dois reais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>, CREAS, Bolsa Familia</w:t>
      </w:r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Fiscal/Fatura, devidamente conferida e atestada.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07.02.08.244.407-2.035.129000.3.3.90.30.00.000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</w:t>
      </w:r>
      <w:r w:rsidR="00883D3F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 xml:space="preserve">    07.02.08.244.407-2.035.129000.</w:t>
      </w:r>
      <w:r w:rsidR="00A133BA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.</w:t>
      </w:r>
      <w:r w:rsidR="00A133BA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.90.52.00.000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</w:t>
      </w:r>
      <w:r w:rsidR="00883D3F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 xml:space="preserve">   07.02.08.244.407-2.036.129000.</w:t>
      </w:r>
      <w:r w:rsidR="00A133BA">
        <w:rPr>
          <w:rFonts w:ascii="Verdana" w:hAnsi="Verdana" w:cs="Tahoma"/>
          <w:sz w:val="20"/>
          <w:szCs w:val="20"/>
        </w:rPr>
        <w:t>4</w:t>
      </w:r>
      <w:r>
        <w:rPr>
          <w:rFonts w:ascii="Verdana" w:hAnsi="Verdana" w:cs="Tahoma"/>
          <w:sz w:val="20"/>
          <w:szCs w:val="20"/>
        </w:rPr>
        <w:t>.</w:t>
      </w:r>
      <w:r w:rsidR="00A133BA">
        <w:rPr>
          <w:rFonts w:ascii="Verdana" w:hAnsi="Verdana" w:cs="Tahoma"/>
          <w:sz w:val="20"/>
          <w:szCs w:val="20"/>
        </w:rPr>
        <w:t>4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t>.90.52.00.000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</w:t>
      </w:r>
      <w:r w:rsidR="00883D3F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 xml:space="preserve">  07.02.08.244.407-2.034.129000.3.3.90.30.00.000</w:t>
      </w:r>
    </w:p>
    <w:p w:rsidR="00B17709" w:rsidRPr="00DA467C" w:rsidRDefault="00883D3F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</w:t>
      </w:r>
      <w:r w:rsidR="00B17709" w:rsidRPr="00DA467C">
        <w:rPr>
          <w:rFonts w:ascii="Verdana" w:hAnsi="Verdana" w:cs="Tahoma"/>
          <w:sz w:val="20"/>
          <w:szCs w:val="20"/>
        </w:rPr>
        <w:t>Fonte: Recurso Federal</w:t>
      </w:r>
      <w:r w:rsidR="00B17709">
        <w:rPr>
          <w:rFonts w:ascii="Verdana" w:hAnsi="Verdana" w:cs="Tahoma"/>
          <w:sz w:val="20"/>
          <w:szCs w:val="20"/>
        </w:rPr>
        <w:t>, Recuso Estadual</w:t>
      </w:r>
      <w:r w:rsidR="00B17709"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</w:t>
      </w:r>
      <w:r w:rsidRPr="004C091E">
        <w:rPr>
          <w:rFonts w:ascii="Verdana" w:hAnsi="Verdana" w:cs="Tahoma"/>
          <w:sz w:val="20"/>
          <w:szCs w:val="20"/>
        </w:rPr>
        <w:lastRenderedPageBreak/>
        <w:t>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5B5FE2" w:rsidRPr="004C091E" w:rsidRDefault="005B5F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conseqüências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>rta Maria de Araujo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685EC4">
        <w:rPr>
          <w:rFonts w:ascii="Verdana" w:hAnsi="Verdana" w:cs="Tahoma"/>
          <w:b/>
          <w:sz w:val="20"/>
          <w:szCs w:val="20"/>
        </w:rPr>
        <w:t>Manoel Epifanio de Souza Neto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685EC4">
        <w:rPr>
          <w:rFonts w:ascii="Verdana" w:hAnsi="Verdana" w:cs="Tahoma"/>
          <w:sz w:val="20"/>
          <w:szCs w:val="20"/>
        </w:rPr>
        <w:t xml:space="preserve"> 884.504.819-53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  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3777F"/>
    <w:rsid w:val="0006397A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6C27"/>
    <w:rsid w:val="003A0D87"/>
    <w:rsid w:val="003A41FA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30FCE"/>
    <w:rsid w:val="00566FC2"/>
    <w:rsid w:val="005708E4"/>
    <w:rsid w:val="005769A7"/>
    <w:rsid w:val="005B5FE2"/>
    <w:rsid w:val="00605E6B"/>
    <w:rsid w:val="006828AF"/>
    <w:rsid w:val="00685EC4"/>
    <w:rsid w:val="006E611F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43CAB"/>
    <w:rsid w:val="0085201D"/>
    <w:rsid w:val="008739C5"/>
    <w:rsid w:val="00877C9F"/>
    <w:rsid w:val="00883D3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3BA"/>
    <w:rsid w:val="00A13A4E"/>
    <w:rsid w:val="00A2441B"/>
    <w:rsid w:val="00A61CEF"/>
    <w:rsid w:val="00AD2E2C"/>
    <w:rsid w:val="00AD4C6C"/>
    <w:rsid w:val="00AF1FE0"/>
    <w:rsid w:val="00B17709"/>
    <w:rsid w:val="00B72AD2"/>
    <w:rsid w:val="00B77386"/>
    <w:rsid w:val="00C01C35"/>
    <w:rsid w:val="00C40295"/>
    <w:rsid w:val="00C808A1"/>
    <w:rsid w:val="00CC5858"/>
    <w:rsid w:val="00CF37DE"/>
    <w:rsid w:val="00D253AC"/>
    <w:rsid w:val="00D62400"/>
    <w:rsid w:val="00D914ED"/>
    <w:rsid w:val="00DE0C5D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7768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5</cp:revision>
  <cp:lastPrinted>2010-02-03T14:58:00Z</cp:lastPrinted>
  <dcterms:created xsi:type="dcterms:W3CDTF">2014-05-09T14:23:00Z</dcterms:created>
  <dcterms:modified xsi:type="dcterms:W3CDTF">2014-05-12T13:09:00Z</dcterms:modified>
</cp:coreProperties>
</file>