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1CE3BC6D" w:rsidR="00D252AE" w:rsidRPr="00356575" w:rsidRDefault="00D252AE" w:rsidP="00D252AE">
      <w:pPr>
        <w:keepNext/>
        <w:shd w:val="clear" w:color="auto" w:fill="FFFFFF"/>
        <w:autoSpaceDE w:val="0"/>
        <w:autoSpaceDN w:val="0"/>
        <w:adjustRightInd w:val="0"/>
        <w:jc w:val="center"/>
        <w:rPr>
          <w:rFonts w:ascii="Arial Narrow" w:hAnsi="Arial Narrow" w:cs="Arial Narrow"/>
          <w:b/>
          <w:bCs/>
          <w:sz w:val="28"/>
          <w:szCs w:val="28"/>
        </w:rPr>
      </w:pPr>
      <w:r w:rsidRPr="00356575">
        <w:rPr>
          <w:rFonts w:ascii="Arial Narrow" w:hAnsi="Arial Narrow" w:cs="Arial Narrow"/>
          <w:b/>
          <w:bCs/>
          <w:sz w:val="28"/>
          <w:szCs w:val="28"/>
        </w:rPr>
        <w:t xml:space="preserve">CONTRATO ADMINISTRATIVO Nº. </w:t>
      </w:r>
      <w:r w:rsidR="009C2D65">
        <w:rPr>
          <w:rFonts w:ascii="Arial Narrow" w:hAnsi="Arial Narrow" w:cs="Arial Narrow"/>
          <w:b/>
          <w:bCs/>
          <w:sz w:val="28"/>
          <w:szCs w:val="28"/>
        </w:rPr>
        <w:t>0</w:t>
      </w:r>
      <w:r w:rsidR="005100A5">
        <w:rPr>
          <w:rFonts w:ascii="Arial Narrow" w:hAnsi="Arial Narrow" w:cs="Arial Narrow"/>
          <w:b/>
          <w:bCs/>
          <w:sz w:val="28"/>
          <w:szCs w:val="28"/>
        </w:rPr>
        <w:t>6</w:t>
      </w:r>
      <w:r w:rsidR="004B24C1">
        <w:rPr>
          <w:rFonts w:ascii="Arial Narrow" w:hAnsi="Arial Narrow" w:cs="Arial Narrow"/>
          <w:b/>
          <w:bCs/>
          <w:sz w:val="28"/>
          <w:szCs w:val="28"/>
        </w:rPr>
        <w:t>8</w:t>
      </w:r>
      <w:r w:rsidRPr="00356575">
        <w:rPr>
          <w:rFonts w:ascii="Arial Narrow" w:hAnsi="Arial Narrow" w:cs="Arial Narrow"/>
          <w:b/>
          <w:bCs/>
          <w:sz w:val="28"/>
          <w:szCs w:val="28"/>
        </w:rPr>
        <w:t>/2024.</w:t>
      </w:r>
    </w:p>
    <w:p w14:paraId="28DB8F48" w14:textId="77777777" w:rsidR="00D252AE" w:rsidRDefault="00D252AE" w:rsidP="00D252AE">
      <w:pPr>
        <w:autoSpaceDE w:val="0"/>
        <w:autoSpaceDN w:val="0"/>
        <w:adjustRightInd w:val="0"/>
        <w:jc w:val="both"/>
        <w:rPr>
          <w:rFonts w:ascii="Arial Narrow" w:hAnsi="Arial Narrow" w:cs="Arial Narrow"/>
          <w:sz w:val="28"/>
          <w:szCs w:val="28"/>
        </w:rPr>
      </w:pPr>
    </w:p>
    <w:p w14:paraId="525C0D08" w14:textId="2032D6E9" w:rsidR="00D252AE" w:rsidRPr="00356575" w:rsidRDefault="00D252AE" w:rsidP="005100A5">
      <w:pPr>
        <w:pStyle w:val="Prembulo"/>
        <w:spacing w:before="120" w:afterLines="120" w:after="288" w:line="312" w:lineRule="auto"/>
        <w:ind w:left="5245"/>
        <w:rPr>
          <w:rFonts w:ascii="Arial Narrow" w:hAnsi="Arial Narrow"/>
          <w:b/>
          <w:sz w:val="26"/>
          <w:szCs w:val="26"/>
        </w:rPr>
      </w:pPr>
      <w:r w:rsidRPr="00356575">
        <w:rPr>
          <w:rFonts w:ascii="Arial Narrow" w:hAnsi="Arial Narrow"/>
          <w:b/>
          <w:sz w:val="26"/>
          <w:szCs w:val="26"/>
        </w:rPr>
        <w:t>CONTRATO ADMINISTRATIVO QUE ENTRE SI FAZEM A PREFEITURA MUNICIPAL DE IGUATEMI</w:t>
      </w:r>
      <w:r w:rsidR="00D2683A" w:rsidRPr="00356575">
        <w:rPr>
          <w:rFonts w:ascii="Arial Narrow" w:hAnsi="Arial Narrow"/>
          <w:b/>
          <w:sz w:val="26"/>
          <w:szCs w:val="26"/>
        </w:rPr>
        <w:t xml:space="preserve"> - </w:t>
      </w:r>
      <w:r w:rsidRPr="00356575">
        <w:rPr>
          <w:rFonts w:ascii="Arial Narrow" w:hAnsi="Arial Narrow"/>
          <w:b/>
          <w:sz w:val="26"/>
          <w:szCs w:val="26"/>
        </w:rPr>
        <w:t xml:space="preserve">MS E A </w:t>
      </w:r>
      <w:r w:rsidR="004B24C1">
        <w:rPr>
          <w:rFonts w:ascii="Arial Narrow" w:hAnsi="Arial Narrow"/>
          <w:b/>
          <w:sz w:val="26"/>
          <w:szCs w:val="26"/>
        </w:rPr>
        <w:t xml:space="preserve">EMPRESA </w:t>
      </w:r>
      <w:proofErr w:type="spellStart"/>
      <w:r w:rsidR="004B24C1">
        <w:rPr>
          <w:rFonts w:ascii="Arial Narrow" w:hAnsi="Arial Narrow"/>
          <w:b/>
          <w:sz w:val="26"/>
          <w:szCs w:val="26"/>
        </w:rPr>
        <w:t>LAS</w:t>
      </w:r>
      <w:proofErr w:type="spellEnd"/>
      <w:r w:rsidR="004B24C1">
        <w:rPr>
          <w:rFonts w:ascii="Arial Narrow" w:hAnsi="Arial Narrow"/>
          <w:b/>
          <w:sz w:val="26"/>
          <w:szCs w:val="26"/>
        </w:rPr>
        <w:t xml:space="preserve"> BRISAS ARTIGOS ESPORTIVOS LTDA. - ME</w:t>
      </w:r>
    </w:p>
    <w:p w14:paraId="6ABC6625" w14:textId="3A2515DC" w:rsidR="00582D4F" w:rsidRPr="00356575" w:rsidRDefault="00582D4F" w:rsidP="00582D4F">
      <w:pPr>
        <w:spacing w:before="120" w:after="120"/>
        <w:ind w:firstLine="1418"/>
        <w:jc w:val="both"/>
        <w:rPr>
          <w:rFonts w:ascii="Arial Narrow" w:eastAsia="Arial" w:hAnsi="Arial Narrow" w:cs="Arial"/>
          <w:sz w:val="26"/>
          <w:szCs w:val="26"/>
        </w:rPr>
      </w:pPr>
      <w:r w:rsidRPr="00356575">
        <w:rPr>
          <w:rFonts w:ascii="Arial Narrow" w:eastAsia="Arial" w:hAnsi="Arial Narrow" w:cs="Arial"/>
          <w:sz w:val="26"/>
          <w:szCs w:val="26"/>
        </w:rPr>
        <w:t xml:space="preserve">A </w:t>
      </w:r>
      <w:r w:rsidRPr="00356575">
        <w:rPr>
          <w:rFonts w:ascii="Arial Narrow" w:eastAsia="Arial" w:hAnsi="Arial Narrow" w:cs="Arial"/>
          <w:b/>
          <w:bCs/>
          <w:sz w:val="26"/>
          <w:szCs w:val="26"/>
        </w:rPr>
        <w:t>PREFEITURA MUNICIPAL DE IGUATEMI</w:t>
      </w:r>
      <w:r w:rsidRPr="00356575">
        <w:rPr>
          <w:rFonts w:ascii="Arial Narrow" w:eastAsia="Arial" w:hAnsi="Arial Narrow" w:cs="Arial"/>
          <w:sz w:val="26"/>
          <w:szCs w:val="26"/>
        </w:rPr>
        <w:t xml:space="preserve">, Estado do Mato Grosso Do Sul, com sede na Avenida Laudelino Peixoto, nº 871, Centro, na cidade de Iguatemi, Estado de Mato do Grosso do Sul, inscrita no CNPJ sob o nº 03.568.318/0001-61, neste ato representado pelo Prefeito Municipal, Lídio Ledesma, portador da Matrícula Funcional nº 015212, doravante denominado </w:t>
      </w:r>
      <w:r w:rsidRPr="005100A5">
        <w:rPr>
          <w:rFonts w:ascii="Arial Narrow" w:eastAsia="Arial" w:hAnsi="Arial Narrow" w:cs="Arial"/>
          <w:b/>
          <w:bCs/>
          <w:sz w:val="26"/>
          <w:szCs w:val="26"/>
        </w:rPr>
        <w:t>CONTRATANTE</w:t>
      </w:r>
      <w:r w:rsidRPr="00356575">
        <w:rPr>
          <w:rFonts w:ascii="Arial Narrow" w:eastAsia="Arial" w:hAnsi="Arial Narrow" w:cs="Arial"/>
          <w:sz w:val="26"/>
          <w:szCs w:val="26"/>
        </w:rPr>
        <w:t xml:space="preserve">, e a empresa </w:t>
      </w:r>
      <w:proofErr w:type="spellStart"/>
      <w:r w:rsidR="000D5565">
        <w:rPr>
          <w:rFonts w:ascii="Arial Narrow" w:eastAsia="Arial" w:hAnsi="Arial Narrow" w:cs="Arial"/>
          <w:b/>
          <w:bCs/>
          <w:sz w:val="26"/>
          <w:szCs w:val="26"/>
        </w:rPr>
        <w:t>LAS</w:t>
      </w:r>
      <w:proofErr w:type="spellEnd"/>
      <w:r w:rsidR="000D5565">
        <w:rPr>
          <w:rFonts w:ascii="Arial Narrow" w:eastAsia="Arial" w:hAnsi="Arial Narrow" w:cs="Arial"/>
          <w:b/>
          <w:bCs/>
          <w:sz w:val="26"/>
          <w:szCs w:val="26"/>
        </w:rPr>
        <w:t xml:space="preserve"> BRISAS ARTIGOS ESPORTIVOS LTDA. </w:t>
      </w:r>
      <w:r w:rsidRPr="00356575">
        <w:rPr>
          <w:rFonts w:ascii="Arial Narrow" w:eastAsia="Arial" w:hAnsi="Arial Narrow" w:cs="Arial"/>
          <w:sz w:val="26"/>
          <w:szCs w:val="26"/>
        </w:rPr>
        <w:t xml:space="preserve">Inscrito(a) no CNPJ sob o nº </w:t>
      </w:r>
      <w:r w:rsidR="00DC0FBD" w:rsidRPr="00DC0FBD">
        <w:rPr>
          <w:rFonts w:ascii="Arial Narrow" w:eastAsia="Arial" w:hAnsi="Arial Narrow" w:cs="Arial"/>
          <w:sz w:val="26"/>
          <w:szCs w:val="26"/>
        </w:rPr>
        <w:t>07.476.398/0001-86</w:t>
      </w:r>
      <w:r w:rsidRPr="00356575">
        <w:rPr>
          <w:rFonts w:ascii="Arial Narrow" w:eastAsia="Arial" w:hAnsi="Arial Narrow" w:cs="Arial"/>
          <w:sz w:val="26"/>
          <w:szCs w:val="26"/>
        </w:rPr>
        <w:t xml:space="preserve">, sediado </w:t>
      </w:r>
      <w:r w:rsidR="008C76ED">
        <w:rPr>
          <w:rFonts w:ascii="Arial Narrow" w:eastAsia="Arial" w:hAnsi="Arial Narrow" w:cs="Arial"/>
          <w:sz w:val="26"/>
          <w:szCs w:val="26"/>
        </w:rPr>
        <w:t>à</w:t>
      </w:r>
      <w:r w:rsidRPr="00356575">
        <w:rPr>
          <w:rFonts w:ascii="Arial Narrow" w:eastAsia="Arial" w:hAnsi="Arial Narrow" w:cs="Arial"/>
          <w:sz w:val="26"/>
          <w:szCs w:val="26"/>
        </w:rPr>
        <w:t xml:space="preserve"> </w:t>
      </w:r>
      <w:r w:rsidR="00DC0FBD">
        <w:rPr>
          <w:rFonts w:ascii="Arial Narrow" w:eastAsia="Arial" w:hAnsi="Arial Narrow" w:cs="Arial"/>
          <w:sz w:val="26"/>
          <w:szCs w:val="26"/>
        </w:rPr>
        <w:t>Rua Pedro Ledesma, 364</w:t>
      </w:r>
      <w:r w:rsidRPr="00356575">
        <w:rPr>
          <w:rFonts w:ascii="Arial Narrow" w:eastAsia="Arial" w:hAnsi="Arial Narrow" w:cs="Arial"/>
          <w:sz w:val="26"/>
          <w:szCs w:val="26"/>
        </w:rPr>
        <w:t xml:space="preserve">, </w:t>
      </w:r>
      <w:r w:rsidR="008C76ED">
        <w:rPr>
          <w:rFonts w:ascii="Arial Narrow" w:eastAsia="Arial" w:hAnsi="Arial Narrow" w:cs="Arial"/>
          <w:sz w:val="26"/>
          <w:szCs w:val="26"/>
        </w:rPr>
        <w:t>Centro</w:t>
      </w:r>
      <w:r w:rsidRPr="00356575">
        <w:rPr>
          <w:rFonts w:ascii="Arial Narrow" w:eastAsia="Arial" w:hAnsi="Arial Narrow" w:cs="Arial"/>
          <w:sz w:val="26"/>
          <w:szCs w:val="26"/>
        </w:rPr>
        <w:t xml:space="preserve">, Município de </w:t>
      </w:r>
      <w:r w:rsidR="00DC0FBD">
        <w:rPr>
          <w:rFonts w:ascii="Arial Narrow" w:eastAsia="Arial" w:hAnsi="Arial Narrow" w:cs="Arial"/>
          <w:sz w:val="26"/>
          <w:szCs w:val="26"/>
        </w:rPr>
        <w:t>Iguatemi</w:t>
      </w:r>
      <w:r w:rsidRPr="00356575">
        <w:rPr>
          <w:rFonts w:ascii="Arial Narrow" w:eastAsia="Arial" w:hAnsi="Arial Narrow" w:cs="Arial"/>
          <w:sz w:val="26"/>
          <w:szCs w:val="26"/>
        </w:rPr>
        <w:t xml:space="preserve">/MS, doravante designada </w:t>
      </w:r>
      <w:r w:rsidRPr="005100A5">
        <w:rPr>
          <w:rFonts w:ascii="Arial Narrow" w:eastAsia="Arial" w:hAnsi="Arial Narrow" w:cs="Arial"/>
          <w:b/>
          <w:bCs/>
          <w:sz w:val="26"/>
          <w:szCs w:val="26"/>
        </w:rPr>
        <w:t>CONTRATADA</w:t>
      </w:r>
      <w:r w:rsidRPr="00356575">
        <w:rPr>
          <w:rFonts w:ascii="Arial Narrow" w:eastAsia="Arial" w:hAnsi="Arial Narrow" w:cs="Arial"/>
          <w:sz w:val="26"/>
          <w:szCs w:val="26"/>
        </w:rPr>
        <w:t xml:space="preserve">, neste ato representada por </w:t>
      </w:r>
      <w:r w:rsidR="00DC0FBD" w:rsidRPr="00DC0FBD">
        <w:rPr>
          <w:rFonts w:ascii="Arial Narrow" w:eastAsia="Arial" w:hAnsi="Arial Narrow" w:cs="Arial"/>
          <w:sz w:val="26"/>
          <w:szCs w:val="26"/>
        </w:rPr>
        <w:t xml:space="preserve">Cesar Augusto </w:t>
      </w:r>
      <w:proofErr w:type="spellStart"/>
      <w:r w:rsidR="00DC0FBD" w:rsidRPr="00DC0FBD">
        <w:rPr>
          <w:rFonts w:ascii="Arial Narrow" w:eastAsia="Arial" w:hAnsi="Arial Narrow" w:cs="Arial"/>
          <w:sz w:val="26"/>
          <w:szCs w:val="26"/>
        </w:rPr>
        <w:t>Roz</w:t>
      </w:r>
      <w:r w:rsidR="00DC0FBD">
        <w:rPr>
          <w:rFonts w:ascii="Arial Narrow" w:eastAsia="Arial" w:hAnsi="Arial Narrow" w:cs="Arial"/>
          <w:sz w:val="26"/>
          <w:szCs w:val="26"/>
        </w:rPr>
        <w:t>ã</w:t>
      </w:r>
      <w:r w:rsidR="00DC0FBD" w:rsidRPr="00DC0FBD">
        <w:rPr>
          <w:rFonts w:ascii="Arial Narrow" w:eastAsia="Arial" w:hAnsi="Arial Narrow" w:cs="Arial"/>
          <w:sz w:val="26"/>
          <w:szCs w:val="26"/>
        </w:rPr>
        <w:t>o</w:t>
      </w:r>
      <w:proofErr w:type="spellEnd"/>
      <w:r w:rsidR="008809B3">
        <w:rPr>
          <w:rFonts w:ascii="Arial Narrow" w:eastAsia="Arial" w:hAnsi="Arial Narrow" w:cs="Arial"/>
          <w:sz w:val="26"/>
          <w:szCs w:val="26"/>
        </w:rPr>
        <w:t>,</w:t>
      </w:r>
      <w:r w:rsidRPr="00356575">
        <w:rPr>
          <w:rFonts w:ascii="Arial Narrow" w:eastAsia="Arial" w:hAnsi="Arial Narrow" w:cs="Arial"/>
          <w:sz w:val="26"/>
          <w:szCs w:val="26"/>
        </w:rPr>
        <w:t xml:space="preserve"> </w:t>
      </w:r>
      <w:r w:rsidR="008809B3">
        <w:rPr>
          <w:rFonts w:ascii="Arial Narrow" w:eastAsia="Arial" w:hAnsi="Arial Narrow" w:cs="Arial"/>
          <w:sz w:val="26"/>
          <w:szCs w:val="26"/>
        </w:rPr>
        <w:t>Sócio Administrador</w:t>
      </w:r>
      <w:r w:rsidRPr="00356575">
        <w:rPr>
          <w:rFonts w:ascii="Arial Narrow" w:eastAsia="Arial" w:hAnsi="Arial Narrow" w:cs="Arial"/>
          <w:sz w:val="26"/>
          <w:szCs w:val="26"/>
        </w:rPr>
        <w:t xml:space="preserve">, conforme atos constitutivos da empresa ou procuração apresentada nos autos, tendo em vista o que consta no Processo nº </w:t>
      </w:r>
      <w:r w:rsidR="008809B3">
        <w:rPr>
          <w:rFonts w:ascii="Arial Narrow" w:eastAsia="Arial" w:hAnsi="Arial Narrow" w:cs="Arial"/>
          <w:sz w:val="26"/>
          <w:szCs w:val="26"/>
        </w:rPr>
        <w:t>039</w:t>
      </w:r>
      <w:r w:rsidRPr="00356575">
        <w:rPr>
          <w:rFonts w:ascii="Arial Narrow" w:eastAsia="Arial" w:hAnsi="Arial Narrow" w:cs="Arial"/>
          <w:sz w:val="26"/>
          <w:szCs w:val="26"/>
        </w:rPr>
        <w:t xml:space="preserve">/2024 e em observância às disposições da </w:t>
      </w:r>
      <w:hyperlink r:id="rId7" w:history="1">
        <w:r w:rsidRPr="00356575">
          <w:rPr>
            <w:rStyle w:val="Hyperlink"/>
            <w:rFonts w:ascii="Arial Narrow" w:eastAsia="Arial" w:hAnsi="Arial Narrow" w:cs="Arial"/>
            <w:color w:val="auto"/>
            <w:sz w:val="26"/>
            <w:szCs w:val="26"/>
            <w:u w:val="none"/>
          </w:rPr>
          <w:t>Lei nº 14.133, de 1º de abril de 2021</w:t>
        </w:r>
      </w:hyperlink>
      <w:r w:rsidRPr="00356575">
        <w:rPr>
          <w:rFonts w:ascii="Arial Narrow" w:eastAsia="Arial" w:hAnsi="Arial Narrow" w:cs="Arial"/>
          <w:sz w:val="26"/>
          <w:szCs w:val="26"/>
        </w:rPr>
        <w:t xml:space="preserve">, e demais legislação aplicável, resolvem celebrar o presente Termo de Contrato, decorrente da Dispensa de Licitação nº </w:t>
      </w:r>
      <w:r w:rsidR="008809B3">
        <w:rPr>
          <w:rFonts w:ascii="Arial Narrow" w:eastAsia="Arial" w:hAnsi="Arial Narrow" w:cs="Arial"/>
          <w:sz w:val="26"/>
          <w:szCs w:val="26"/>
        </w:rPr>
        <w:t>017</w:t>
      </w:r>
      <w:r w:rsidRPr="00356575">
        <w:rPr>
          <w:rFonts w:ascii="Arial Narrow" w:eastAsia="Arial" w:hAnsi="Arial Narrow" w:cs="Arial"/>
          <w:sz w:val="26"/>
          <w:szCs w:val="26"/>
        </w:rPr>
        <w:t>/2024, mediante as cláusulas e condições a seguir enunciadas.</w:t>
      </w:r>
    </w:p>
    <w:p w14:paraId="4AC523F2" w14:textId="77777777" w:rsidR="00A34F15" w:rsidRPr="00356575" w:rsidRDefault="00A34F15" w:rsidP="00A34F15">
      <w:pPr>
        <w:spacing w:before="120" w:after="120"/>
        <w:ind w:firstLine="708"/>
        <w:jc w:val="both"/>
        <w:rPr>
          <w:rFonts w:ascii="Arial Narrow" w:eastAsia="Arial" w:hAnsi="Arial Narrow" w:cs="Arial"/>
          <w:sz w:val="26"/>
          <w:szCs w:val="26"/>
        </w:rPr>
      </w:pPr>
    </w:p>
    <w:p w14:paraId="12986EB2" w14:textId="77777777"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8"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14:paraId="7CDB6BF1" w14:textId="7AADA9E2"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5100A5" w:rsidRPr="005100A5">
        <w:rPr>
          <w:rFonts w:ascii="Arial Narrow" w:hAnsi="Arial Narrow"/>
          <w:bCs/>
          <w:color w:val="auto"/>
          <w:sz w:val="24"/>
          <w:szCs w:val="24"/>
        </w:rPr>
        <w:t>AQUISIÇÃO DE MEDALHAS E TROFÉUS PARA ATENDER AS SECRETARIAS</w:t>
      </w:r>
      <w:r w:rsidR="00241831"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w:t>
      </w:r>
      <w:r w:rsidR="005100A5">
        <w:rPr>
          <w:rFonts w:ascii="Arial Narrow" w:hAnsi="Arial Narrow"/>
          <w:color w:val="auto"/>
          <w:sz w:val="26"/>
          <w:szCs w:val="26"/>
        </w:rPr>
        <w:t>s</w:t>
      </w:r>
      <w:r w:rsidRPr="00356575">
        <w:rPr>
          <w:rFonts w:ascii="Arial Narrow" w:hAnsi="Arial Narrow"/>
          <w:color w:val="auto"/>
          <w:sz w:val="26"/>
          <w:szCs w:val="26"/>
        </w:rPr>
        <w:t xml:space="preserve"> Termo</w:t>
      </w:r>
      <w:r w:rsidR="005100A5">
        <w:rPr>
          <w:rFonts w:ascii="Arial Narrow" w:hAnsi="Arial Narrow"/>
          <w:color w:val="auto"/>
          <w:sz w:val="26"/>
          <w:szCs w:val="26"/>
        </w:rPr>
        <w:t>s</w:t>
      </w:r>
      <w:r w:rsidRPr="00356575">
        <w:rPr>
          <w:rFonts w:ascii="Arial Narrow" w:hAnsi="Arial Narrow"/>
          <w:color w:val="auto"/>
          <w:sz w:val="26"/>
          <w:szCs w:val="26"/>
        </w:rPr>
        <w:t xml:space="preserve"> de Referência.</w:t>
      </w:r>
    </w:p>
    <w:p w14:paraId="08C8EF1F" w14:textId="1637AED1" w:rsidR="00D252AE"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p w14:paraId="713A4B82" w14:textId="77777777" w:rsidR="003B44C6" w:rsidRPr="00E74FBC" w:rsidRDefault="003B44C6" w:rsidP="00E74FBC">
      <w:pPr>
        <w:pStyle w:val="Nivel2"/>
        <w:jc w:val="left"/>
        <w:rPr>
          <w:rFonts w:ascii="Arial Narrow" w:hAnsi="Arial Narrow"/>
          <w:color w:val="auto"/>
          <w:sz w:val="26"/>
          <w:szCs w:val="26"/>
        </w:rPr>
      </w:pPr>
    </w:p>
    <w:tbl>
      <w:tblPr>
        <w:tblW w:w="9178" w:type="dxa"/>
        <w:tblCellMar>
          <w:left w:w="70" w:type="dxa"/>
          <w:right w:w="70" w:type="dxa"/>
        </w:tblCellMar>
        <w:tblLook w:val="04A0" w:firstRow="1" w:lastRow="0" w:firstColumn="1" w:lastColumn="0" w:noHBand="0" w:noVBand="1"/>
      </w:tblPr>
      <w:tblGrid>
        <w:gridCol w:w="452"/>
        <w:gridCol w:w="376"/>
        <w:gridCol w:w="375"/>
        <w:gridCol w:w="523"/>
        <w:gridCol w:w="3363"/>
        <w:gridCol w:w="378"/>
        <w:gridCol w:w="985"/>
        <w:gridCol w:w="1109"/>
        <w:gridCol w:w="808"/>
        <w:gridCol w:w="809"/>
      </w:tblGrid>
      <w:tr w:rsidR="0072165B" w:rsidRPr="0072165B" w14:paraId="7E83B872" w14:textId="77777777" w:rsidTr="0072165B">
        <w:trPr>
          <w:trHeight w:val="30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3AFA6"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ANEXO</w:t>
            </w:r>
          </w:p>
        </w:tc>
        <w:tc>
          <w:tcPr>
            <w:tcW w:w="375" w:type="dxa"/>
            <w:tcBorders>
              <w:top w:val="single" w:sz="4" w:space="0" w:color="auto"/>
              <w:left w:val="nil"/>
              <w:bottom w:val="single" w:sz="4" w:space="0" w:color="auto"/>
              <w:right w:val="single" w:sz="4" w:space="0" w:color="auto"/>
            </w:tcBorders>
            <w:shd w:val="clear" w:color="auto" w:fill="auto"/>
            <w:vAlign w:val="center"/>
            <w:hideMark/>
          </w:tcPr>
          <w:p w14:paraId="58C65BC1"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LOTE</w:t>
            </w:r>
          </w:p>
        </w:tc>
        <w:tc>
          <w:tcPr>
            <w:tcW w:w="375" w:type="dxa"/>
            <w:tcBorders>
              <w:top w:val="single" w:sz="4" w:space="0" w:color="auto"/>
              <w:left w:val="nil"/>
              <w:bottom w:val="single" w:sz="4" w:space="0" w:color="auto"/>
              <w:right w:val="single" w:sz="4" w:space="0" w:color="auto"/>
            </w:tcBorders>
            <w:shd w:val="clear" w:color="auto" w:fill="auto"/>
            <w:vAlign w:val="center"/>
            <w:hideMark/>
          </w:tcPr>
          <w:p w14:paraId="4CBADCE5"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ITEM</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37B9189B"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CÓD.</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2F1BCDD"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ESPECIFICAÇÃO DO ITEM</w:t>
            </w:r>
          </w:p>
        </w:tc>
        <w:tc>
          <w:tcPr>
            <w:tcW w:w="375" w:type="dxa"/>
            <w:tcBorders>
              <w:top w:val="single" w:sz="4" w:space="0" w:color="auto"/>
              <w:left w:val="nil"/>
              <w:bottom w:val="single" w:sz="4" w:space="0" w:color="auto"/>
              <w:right w:val="single" w:sz="4" w:space="0" w:color="auto"/>
            </w:tcBorders>
            <w:shd w:val="clear" w:color="auto" w:fill="auto"/>
            <w:vAlign w:val="center"/>
            <w:hideMark/>
          </w:tcPr>
          <w:p w14:paraId="1EE739DD" w14:textId="77777777" w:rsidR="0072165B" w:rsidRPr="0072165B" w:rsidRDefault="0072165B" w:rsidP="0072165B">
            <w:pPr>
              <w:jc w:val="center"/>
              <w:rPr>
                <w:rFonts w:ascii="Tahoma" w:eastAsia="Times New Roman" w:hAnsi="Tahoma" w:cs="Tahoma"/>
                <w:sz w:val="10"/>
                <w:szCs w:val="10"/>
                <w:lang w:eastAsia="pt-BR"/>
              </w:rPr>
            </w:pPr>
            <w:proofErr w:type="spellStart"/>
            <w:r w:rsidRPr="0072165B">
              <w:rPr>
                <w:rFonts w:ascii="Tahoma" w:eastAsia="Times New Roman" w:hAnsi="Tahoma" w:cs="Tahoma"/>
                <w:sz w:val="10"/>
                <w:szCs w:val="10"/>
                <w:lang w:eastAsia="pt-BR"/>
              </w:rPr>
              <w:t>UNID</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7A38304"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QUANTIDADE</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6E5FEFA"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 xml:space="preserve">MARCA </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073A473"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VALOR UNIT.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6F788B45" w14:textId="77777777" w:rsidR="0072165B" w:rsidRPr="0072165B" w:rsidRDefault="0072165B" w:rsidP="0072165B">
            <w:pPr>
              <w:jc w:val="center"/>
              <w:rPr>
                <w:rFonts w:ascii="Tahoma" w:eastAsia="Times New Roman" w:hAnsi="Tahoma" w:cs="Tahoma"/>
                <w:sz w:val="10"/>
                <w:szCs w:val="10"/>
                <w:lang w:eastAsia="pt-BR"/>
              </w:rPr>
            </w:pPr>
            <w:r w:rsidRPr="0072165B">
              <w:rPr>
                <w:rFonts w:ascii="Tahoma" w:eastAsia="Times New Roman" w:hAnsi="Tahoma" w:cs="Tahoma"/>
                <w:sz w:val="10"/>
                <w:szCs w:val="10"/>
                <w:lang w:eastAsia="pt-BR"/>
              </w:rPr>
              <w:t>VALOR TOTAL</w:t>
            </w:r>
          </w:p>
        </w:tc>
      </w:tr>
      <w:tr w:rsidR="0072165B" w:rsidRPr="0072165B" w14:paraId="576D860C" w14:textId="77777777" w:rsidTr="0072165B">
        <w:trPr>
          <w:trHeight w:val="117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E47E5D4"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I</w:t>
            </w:r>
          </w:p>
        </w:tc>
        <w:tc>
          <w:tcPr>
            <w:tcW w:w="375" w:type="dxa"/>
            <w:tcBorders>
              <w:top w:val="nil"/>
              <w:left w:val="nil"/>
              <w:bottom w:val="single" w:sz="4" w:space="0" w:color="000000"/>
              <w:right w:val="single" w:sz="4" w:space="0" w:color="000000"/>
            </w:tcBorders>
            <w:shd w:val="clear" w:color="auto" w:fill="auto"/>
            <w:vAlign w:val="center"/>
            <w:hideMark/>
          </w:tcPr>
          <w:p w14:paraId="4748A598"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1</w:t>
            </w:r>
          </w:p>
        </w:tc>
        <w:tc>
          <w:tcPr>
            <w:tcW w:w="375" w:type="dxa"/>
            <w:tcBorders>
              <w:top w:val="nil"/>
              <w:left w:val="nil"/>
              <w:bottom w:val="single" w:sz="4" w:space="0" w:color="000000"/>
              <w:right w:val="single" w:sz="4" w:space="0" w:color="000000"/>
            </w:tcBorders>
            <w:shd w:val="clear" w:color="auto" w:fill="auto"/>
            <w:vAlign w:val="center"/>
            <w:hideMark/>
          </w:tcPr>
          <w:p w14:paraId="49059F2C"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4</w:t>
            </w:r>
          </w:p>
        </w:tc>
        <w:tc>
          <w:tcPr>
            <w:tcW w:w="491" w:type="dxa"/>
            <w:tcBorders>
              <w:top w:val="nil"/>
              <w:left w:val="nil"/>
              <w:bottom w:val="single" w:sz="4" w:space="0" w:color="000000"/>
              <w:right w:val="single" w:sz="4" w:space="0" w:color="000000"/>
            </w:tcBorders>
            <w:shd w:val="clear" w:color="auto" w:fill="auto"/>
            <w:vAlign w:val="center"/>
            <w:hideMark/>
          </w:tcPr>
          <w:p w14:paraId="77B8247C"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29113</w:t>
            </w:r>
          </w:p>
        </w:tc>
        <w:tc>
          <w:tcPr>
            <w:tcW w:w="3410" w:type="dxa"/>
            <w:tcBorders>
              <w:top w:val="nil"/>
              <w:left w:val="nil"/>
              <w:bottom w:val="single" w:sz="4" w:space="0" w:color="000000"/>
              <w:right w:val="single" w:sz="4" w:space="0" w:color="000000"/>
            </w:tcBorders>
            <w:shd w:val="clear" w:color="auto" w:fill="auto"/>
            <w:vAlign w:val="center"/>
            <w:hideMark/>
          </w:tcPr>
          <w:p w14:paraId="6E5CB084" w14:textId="77777777" w:rsidR="0072165B" w:rsidRPr="0072165B" w:rsidRDefault="0072165B" w:rsidP="0072165B">
            <w:pPr>
              <w:jc w:val="both"/>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TROFÉU COM ALTURA DE 111 CM, BASE EM POLÍMERO NA COR PRETA. SOBRE ESTA BASE DETALHES NA COR DOURADA, COM UMA TAMPA METALIZADA NA COR PRATA. ESTATUETA SUPERIOR INTERCAMBIÁVEL PLAQUETA PARA PERSONALIZAÇÃO COM O LOGO DA PREFEITURA MUNICIPAL.</w:t>
            </w:r>
          </w:p>
        </w:tc>
        <w:tc>
          <w:tcPr>
            <w:tcW w:w="375" w:type="dxa"/>
            <w:tcBorders>
              <w:top w:val="nil"/>
              <w:left w:val="nil"/>
              <w:bottom w:val="single" w:sz="4" w:space="0" w:color="000000"/>
              <w:right w:val="single" w:sz="4" w:space="0" w:color="000000"/>
            </w:tcBorders>
            <w:shd w:val="clear" w:color="auto" w:fill="auto"/>
            <w:vAlign w:val="center"/>
            <w:hideMark/>
          </w:tcPr>
          <w:p w14:paraId="74ECA160" w14:textId="77777777" w:rsidR="0072165B" w:rsidRPr="0072165B" w:rsidRDefault="0072165B" w:rsidP="0072165B">
            <w:pPr>
              <w:jc w:val="center"/>
              <w:rPr>
                <w:rFonts w:ascii="Tahoma" w:eastAsia="Times New Roman" w:hAnsi="Tahoma" w:cs="Tahoma"/>
                <w:color w:val="000000"/>
                <w:sz w:val="14"/>
                <w:szCs w:val="14"/>
                <w:lang w:eastAsia="pt-BR"/>
              </w:rPr>
            </w:pPr>
            <w:proofErr w:type="spellStart"/>
            <w:r w:rsidRPr="0072165B">
              <w:rPr>
                <w:rFonts w:ascii="Tahoma" w:eastAsia="Times New Roman" w:hAnsi="Tahoma" w:cs="Tahoma"/>
                <w:color w:val="000000"/>
                <w:sz w:val="14"/>
                <w:szCs w:val="14"/>
                <w:lang w:eastAsia="pt-BR"/>
              </w:rPr>
              <w:t>UN</w:t>
            </w:r>
            <w:proofErr w:type="spellEnd"/>
          </w:p>
        </w:tc>
        <w:tc>
          <w:tcPr>
            <w:tcW w:w="990" w:type="dxa"/>
            <w:tcBorders>
              <w:top w:val="nil"/>
              <w:left w:val="nil"/>
              <w:bottom w:val="single" w:sz="4" w:space="0" w:color="000000"/>
              <w:right w:val="single" w:sz="4" w:space="0" w:color="000000"/>
            </w:tcBorders>
            <w:shd w:val="clear" w:color="auto" w:fill="auto"/>
            <w:vAlign w:val="center"/>
            <w:hideMark/>
          </w:tcPr>
          <w:p w14:paraId="34F7CF98"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10,00</w:t>
            </w:r>
          </w:p>
        </w:tc>
        <w:tc>
          <w:tcPr>
            <w:tcW w:w="1117" w:type="dxa"/>
            <w:tcBorders>
              <w:top w:val="nil"/>
              <w:left w:val="nil"/>
              <w:bottom w:val="single" w:sz="4" w:space="0" w:color="000000"/>
              <w:right w:val="single" w:sz="4" w:space="0" w:color="000000"/>
            </w:tcBorders>
            <w:shd w:val="clear" w:color="auto" w:fill="auto"/>
            <w:vAlign w:val="center"/>
            <w:hideMark/>
          </w:tcPr>
          <w:p w14:paraId="21E3CD77" w14:textId="77777777" w:rsidR="0072165B" w:rsidRPr="0072165B" w:rsidRDefault="0072165B" w:rsidP="0072165B">
            <w:pPr>
              <w:jc w:val="center"/>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VITÓRIA</w:t>
            </w:r>
          </w:p>
        </w:tc>
        <w:tc>
          <w:tcPr>
            <w:tcW w:w="808" w:type="dxa"/>
            <w:tcBorders>
              <w:top w:val="nil"/>
              <w:left w:val="nil"/>
              <w:bottom w:val="single" w:sz="4" w:space="0" w:color="000000"/>
              <w:right w:val="single" w:sz="4" w:space="0" w:color="000000"/>
            </w:tcBorders>
            <w:shd w:val="clear" w:color="auto" w:fill="auto"/>
            <w:vAlign w:val="center"/>
            <w:hideMark/>
          </w:tcPr>
          <w:p w14:paraId="3B4E2081" w14:textId="77777777" w:rsidR="0072165B" w:rsidRPr="0072165B" w:rsidRDefault="0072165B" w:rsidP="0072165B">
            <w:pPr>
              <w:jc w:val="right"/>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288,00</w:t>
            </w:r>
          </w:p>
        </w:tc>
        <w:tc>
          <w:tcPr>
            <w:tcW w:w="808" w:type="dxa"/>
            <w:tcBorders>
              <w:top w:val="nil"/>
              <w:left w:val="nil"/>
              <w:bottom w:val="single" w:sz="4" w:space="0" w:color="000000"/>
              <w:right w:val="single" w:sz="4" w:space="0" w:color="000000"/>
            </w:tcBorders>
            <w:shd w:val="clear" w:color="auto" w:fill="auto"/>
            <w:vAlign w:val="center"/>
            <w:hideMark/>
          </w:tcPr>
          <w:p w14:paraId="3F41B946" w14:textId="77777777" w:rsidR="0072165B" w:rsidRPr="0072165B" w:rsidRDefault="0072165B" w:rsidP="0072165B">
            <w:pPr>
              <w:jc w:val="right"/>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2.880,00</w:t>
            </w:r>
          </w:p>
        </w:tc>
      </w:tr>
      <w:tr w:rsidR="0072165B" w:rsidRPr="0072165B" w14:paraId="6807E01E" w14:textId="77777777" w:rsidTr="0072165B">
        <w:trPr>
          <w:trHeight w:val="195"/>
        </w:trPr>
        <w:tc>
          <w:tcPr>
            <w:tcW w:w="75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C6F79" w14:textId="77777777" w:rsidR="0072165B" w:rsidRPr="0072165B" w:rsidRDefault="0072165B" w:rsidP="0072165B">
            <w:pPr>
              <w:jc w:val="right"/>
              <w:rPr>
                <w:rFonts w:ascii="Tahoma" w:eastAsia="Times New Roman" w:hAnsi="Tahoma" w:cs="Tahoma"/>
                <w:color w:val="000000"/>
                <w:sz w:val="14"/>
                <w:szCs w:val="14"/>
                <w:lang w:eastAsia="pt-BR"/>
              </w:rPr>
            </w:pPr>
            <w:r w:rsidRPr="0072165B">
              <w:rPr>
                <w:rFonts w:ascii="Tahoma" w:eastAsia="Times New Roman" w:hAnsi="Tahoma" w:cs="Tahoma"/>
                <w:color w:val="000000"/>
                <w:sz w:val="14"/>
                <w:szCs w:val="14"/>
                <w:lang w:eastAsia="pt-BR"/>
              </w:rPr>
              <w:t>VALOR TOTAL</w:t>
            </w:r>
          </w:p>
        </w:tc>
        <w:tc>
          <w:tcPr>
            <w:tcW w:w="161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0D4B21" w14:textId="77777777" w:rsidR="0072165B" w:rsidRPr="0072165B" w:rsidRDefault="0072165B" w:rsidP="0072165B">
            <w:pPr>
              <w:jc w:val="center"/>
              <w:rPr>
                <w:rFonts w:ascii="Tahoma" w:eastAsia="Times New Roman" w:hAnsi="Tahoma" w:cs="Tahoma"/>
                <w:b/>
                <w:bCs/>
                <w:color w:val="000000"/>
                <w:sz w:val="16"/>
                <w:szCs w:val="16"/>
                <w:lang w:eastAsia="pt-BR"/>
              </w:rPr>
            </w:pPr>
            <w:r w:rsidRPr="0072165B">
              <w:rPr>
                <w:rFonts w:ascii="Tahoma" w:eastAsia="Times New Roman" w:hAnsi="Tahoma" w:cs="Tahoma"/>
                <w:b/>
                <w:bCs/>
                <w:color w:val="000000"/>
                <w:sz w:val="16"/>
                <w:szCs w:val="16"/>
                <w:lang w:eastAsia="pt-BR"/>
              </w:rPr>
              <w:t>2.880,00</w:t>
            </w:r>
          </w:p>
        </w:tc>
      </w:tr>
    </w:tbl>
    <w:p w14:paraId="46808903" w14:textId="77777777" w:rsidR="003B44C6" w:rsidRDefault="003B44C6" w:rsidP="00D252AE">
      <w:pPr>
        <w:pStyle w:val="Nivel2"/>
        <w:rPr>
          <w:rFonts w:ascii="Arial Narrow" w:hAnsi="Arial Narrow"/>
          <w:color w:val="auto"/>
          <w:sz w:val="26"/>
          <w:szCs w:val="26"/>
        </w:rPr>
      </w:pPr>
    </w:p>
    <w:p w14:paraId="3DFEA5D0" w14:textId="19B81814"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646FB448"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2C642A50" w14:textId="77777777" w:rsidR="003B44C6" w:rsidRDefault="003B44C6" w:rsidP="00D252AE">
      <w:pPr>
        <w:pStyle w:val="Nivel3"/>
        <w:rPr>
          <w:rFonts w:ascii="Arial Narrow" w:hAnsi="Arial Narrow"/>
          <w:color w:val="auto"/>
          <w:sz w:val="26"/>
          <w:szCs w:val="26"/>
        </w:rPr>
      </w:pP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lastRenderedPageBreak/>
        <w:t>CLÁUSULA SEGUNDA – VIGÊNCIA E PRORROGAÇÃO</w:t>
      </w:r>
    </w:p>
    <w:p w14:paraId="7DEE1C2B" w14:textId="65F4152C"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E74FBC">
        <w:rPr>
          <w:rFonts w:ascii="Arial Narrow" w:hAnsi="Arial Narrow"/>
          <w:i w:val="0"/>
          <w:iCs w:val="0"/>
          <w:color w:val="auto"/>
          <w:sz w:val="26"/>
          <w:szCs w:val="26"/>
        </w:rPr>
        <w:t>31/12</w:t>
      </w:r>
      <w:r w:rsidR="00852F7F" w:rsidRPr="00E55025">
        <w:rPr>
          <w:rFonts w:ascii="Arial Narrow" w:hAnsi="Arial Narrow"/>
          <w:i w:val="0"/>
          <w:iCs w:val="0"/>
          <w:color w:val="auto"/>
          <w:sz w:val="26"/>
          <w:szCs w:val="26"/>
        </w:rPr>
        <w:t>/2024</w:t>
      </w:r>
      <w:r w:rsidRPr="00E55025">
        <w:rPr>
          <w:rFonts w:ascii="Arial Narrow" w:hAnsi="Arial Narrow"/>
          <w:i w:val="0"/>
          <w:iCs w:val="0"/>
          <w:color w:val="auto"/>
          <w:sz w:val="26"/>
          <w:szCs w:val="26"/>
        </w:rPr>
        <w:t xml:space="preserve">, na forma do </w:t>
      </w:r>
      <w:hyperlink r:id="rId9"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1" w:anchor="art92" w:history="1">
        <w:r w:rsidRPr="00356575">
          <w:rPr>
            <w:rStyle w:val="Hyperlink"/>
            <w:rFonts w:ascii="Arial Narrow" w:hAnsi="Arial Narrow"/>
            <w:color w:val="auto"/>
            <w:sz w:val="26"/>
            <w:szCs w:val="26"/>
          </w:rPr>
          <w:t>art. 92, V)</w:t>
        </w:r>
      </w:hyperlink>
    </w:p>
    <w:p w14:paraId="702CB598" w14:textId="068DC0AB"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 xml:space="preserve">O valor total da contratação é de </w:t>
      </w:r>
      <w:r w:rsidRPr="005100A5">
        <w:rPr>
          <w:rFonts w:ascii="Arial Narrow" w:hAnsi="Arial Narrow"/>
          <w:b/>
          <w:bCs/>
          <w:i w:val="0"/>
          <w:iCs w:val="0"/>
          <w:color w:val="auto"/>
          <w:sz w:val="26"/>
          <w:szCs w:val="26"/>
        </w:rPr>
        <w:t>R$</w:t>
      </w:r>
      <w:r w:rsidR="002D7273" w:rsidRPr="005100A5">
        <w:rPr>
          <w:rFonts w:ascii="Arial Narrow" w:hAnsi="Arial Narrow"/>
          <w:b/>
          <w:bCs/>
          <w:i w:val="0"/>
          <w:iCs w:val="0"/>
          <w:color w:val="auto"/>
          <w:sz w:val="26"/>
          <w:szCs w:val="26"/>
        </w:rPr>
        <w:t xml:space="preserve"> </w:t>
      </w:r>
      <w:r w:rsidR="0072165B">
        <w:rPr>
          <w:rFonts w:ascii="Arial Narrow" w:hAnsi="Arial Narrow"/>
          <w:b/>
          <w:bCs/>
          <w:i w:val="0"/>
          <w:iCs w:val="0"/>
          <w:color w:val="auto"/>
          <w:sz w:val="26"/>
          <w:szCs w:val="26"/>
        </w:rPr>
        <w:t>2.880,00</w:t>
      </w:r>
      <w:r w:rsidR="002D7273" w:rsidRPr="00166A7C">
        <w:rPr>
          <w:rFonts w:ascii="Arial Narrow" w:hAnsi="Arial Narrow"/>
          <w:i w:val="0"/>
          <w:iCs w:val="0"/>
          <w:color w:val="auto"/>
          <w:sz w:val="26"/>
          <w:szCs w:val="26"/>
        </w:rPr>
        <w:t xml:space="preserve"> (</w:t>
      </w:r>
      <w:r w:rsidR="0072165B">
        <w:rPr>
          <w:rFonts w:ascii="Arial Narrow" w:hAnsi="Arial Narrow"/>
          <w:i w:val="0"/>
          <w:iCs w:val="0"/>
          <w:color w:val="auto"/>
          <w:sz w:val="26"/>
          <w:szCs w:val="26"/>
        </w:rPr>
        <w:t>dois mil, oitocentos e oitenta reais</w:t>
      </w:r>
      <w:r w:rsidR="002D7273" w:rsidRPr="00166A7C">
        <w:rPr>
          <w:rFonts w:ascii="Arial Narrow" w:hAnsi="Arial Narrow"/>
          <w:i w:val="0"/>
          <w:iCs w:val="0"/>
          <w:color w:val="auto"/>
          <w:sz w:val="26"/>
          <w:szCs w:val="26"/>
        </w:rPr>
        <w:t>)</w:t>
      </w:r>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2"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3"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77777777" w:rsidR="00D252AE" w:rsidRPr="00356575" w:rsidRDefault="002D7273" w:rsidP="00D252AE">
      <w:pPr>
        <w:pStyle w:val="Nivel2"/>
        <w:rPr>
          <w:rFonts w:ascii="Arial Narrow" w:hAnsi="Arial Narrow"/>
          <w:color w:val="auto"/>
          <w:sz w:val="26"/>
          <w:szCs w:val="26"/>
        </w:rPr>
      </w:pPr>
      <w:r w:rsidRPr="00356575">
        <w:rPr>
          <w:rFonts w:ascii="Arial Narrow" w:hAnsi="Arial Narrow"/>
          <w:color w:val="auto"/>
          <w:sz w:val="26"/>
          <w:szCs w:val="26"/>
        </w:rPr>
        <w:t xml:space="preserve"> </w:t>
      </w:r>
      <w:r w:rsidR="00D252AE" w:rsidRPr="00356575">
        <w:rPr>
          <w:rFonts w:ascii="Arial Narrow" w:hAnsi="Arial Narrow"/>
          <w:color w:val="auto"/>
          <w:sz w:val="26"/>
          <w:szCs w:val="26"/>
        </w:rPr>
        <w:t>Após o interregno de um ano, e independentemente de pedido do contratado, os preços iniciais serão reajustados, mediante a aplicação, pelo contratante, do Índice Nacional de Preços Consumidor Amplo - IPCA</w:t>
      </w:r>
      <w:r w:rsidR="00D252AE" w:rsidRPr="00356575">
        <w:rPr>
          <w:rFonts w:ascii="Arial Narrow" w:hAnsi="Arial Narrow"/>
          <w:i/>
          <w:iCs/>
          <w:color w:val="auto"/>
          <w:sz w:val="26"/>
          <w:szCs w:val="26"/>
        </w:rPr>
        <w:t>,</w:t>
      </w:r>
      <w:r w:rsidR="00D252AE"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4"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6"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7"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19"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0"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PRIMEIRA – INFRAÇÕES E SANÇÕES ADMINISTRATIVAS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3"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lastRenderedPageBreak/>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4"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356575">
          <w:rPr>
            <w:rStyle w:val="Hyperlink"/>
            <w:rFonts w:ascii="Arial Narrow" w:eastAsia="Arial" w:hAnsi="Arial Narrow" w:cs="Arial"/>
            <w:color w:val="auto"/>
            <w:sz w:val="26"/>
            <w:szCs w:val="26"/>
          </w:rPr>
          <w:t xml:space="preserve">art. 156, §2º, da </w:t>
        </w:r>
        <w:bookmarkStart w:id="1" w:name="_Hlk114504069"/>
        <w:r w:rsidRPr="00356575">
          <w:rPr>
            <w:rStyle w:val="Hyperlink"/>
            <w:rFonts w:ascii="Arial Narrow" w:eastAsia="Arial" w:hAnsi="Arial Narrow" w:cs="Arial"/>
            <w:color w:val="auto"/>
            <w:sz w:val="26"/>
            <w:szCs w:val="26"/>
          </w:rPr>
          <w:t>Lei nº 14.133, de 2021</w:t>
        </w:r>
        <w:bookmarkEnd w:id="1"/>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5BBBBC1D" w14:textId="4C151872" w:rsidR="00356575" w:rsidRDefault="00D252AE" w:rsidP="003B44C6">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8"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4C2C7C5A"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Todas as sanções previstas neste Contrato poderão ser aplicadas cumulativamente com a multa (</w:t>
      </w:r>
      <w:hyperlink r:id="rId29"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lastRenderedPageBreak/>
        <w:t>Antes da aplicação da multa será facultada a defesa do interessado no prazo de 15 (quinze) dias úteis, contado da data de sua intimação (</w:t>
      </w:r>
      <w:hyperlink r:id="rId30"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2" w:name="_Hlk78351618"/>
      <w:bookmarkEnd w:id="2"/>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2"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3"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5"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6"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e no 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8"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lastRenderedPageBreak/>
        <w:t xml:space="preserve">As sanções de impedimento de licitar e contratar e declaração de inidoneidade para licitar ou contratar são passíveis de reabilitação na forma do </w:t>
      </w:r>
      <w:hyperlink r:id="rId39"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71AB7AE2" w14:textId="762C4F89" w:rsidR="00D252AE" w:rsidRPr="00356575" w:rsidRDefault="00D252AE" w:rsidP="00D252AE">
      <w:pPr>
        <w:pStyle w:val="Nivel01"/>
        <w:rPr>
          <w:rFonts w:ascii="Arial Narrow" w:hAnsi="Arial Narrow"/>
          <w:color w:val="auto"/>
          <w:sz w:val="26"/>
          <w:szCs w:val="26"/>
        </w:rPr>
      </w:pPr>
      <w:bookmarkStart w:id="3" w:name="_GoBack"/>
      <w:bookmarkEnd w:id="3"/>
      <w:r w:rsidRPr="00356575">
        <w:rPr>
          <w:rFonts w:ascii="Arial Narrow" w:hAnsi="Arial Narrow"/>
          <w:color w:val="auto"/>
          <w:sz w:val="26"/>
          <w:szCs w:val="26"/>
        </w:rPr>
        <w:t>CLÁUSULA DÉCIMA SEGUNDA– DA EXTINÇÃO CONTRATUAL (</w:t>
      </w:r>
      <w:hyperlink r:id="rId4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1"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2"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extinção do contrato não configura óbice para o reconhecimento do desequilíbrio econômico-financeiro, hipótese em que será concedida indenização por meio de termo indenizatório (</w:t>
      </w:r>
      <w:hyperlink r:id="rId43"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TERCEIRA – DOTAÇÃO ORÇAMENTÁRIA (</w:t>
      </w:r>
      <w:hyperlink r:id="rId44"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77777777" w:rsidR="00D252AE" w:rsidRPr="0072165B"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As despesas decorrentes da presente contratação correrão à conta de recursos específicos </w:t>
      </w:r>
      <w:r w:rsidRPr="0072165B">
        <w:rPr>
          <w:rFonts w:ascii="Arial Narrow" w:hAnsi="Arial Narrow"/>
          <w:color w:val="auto"/>
          <w:sz w:val="26"/>
          <w:szCs w:val="26"/>
        </w:rPr>
        <w:t>consignados no Orçamento Geral da União deste exercício, na dotação abaixo discriminada:</w:t>
      </w:r>
    </w:p>
    <w:p w14:paraId="558C9A00" w14:textId="77777777" w:rsidR="0072165B" w:rsidRPr="00817FA3" w:rsidRDefault="0072165B" w:rsidP="0072165B">
      <w:pPr>
        <w:rPr>
          <w:rFonts w:ascii="Arial Narrow" w:eastAsia="Times New Roman" w:hAnsi="Arial Narrow" w:cs="Arial"/>
          <w:color w:val="000000"/>
          <w:lang w:eastAsia="pt-BR"/>
        </w:rPr>
      </w:pPr>
      <w:r w:rsidRPr="0072165B">
        <w:rPr>
          <w:rFonts w:ascii="Arial Narrow" w:eastAsia="Times New Roman" w:hAnsi="Arial Narrow" w:cs="Arial"/>
          <w:color w:val="000000"/>
          <w:lang w:eastAsia="pt-BR"/>
        </w:rPr>
        <w:t>01  PREFEITURA MUNICIPAL DE IGUATEMI</w:t>
      </w:r>
      <w:r w:rsidRPr="0072165B">
        <w:rPr>
          <w:rFonts w:ascii="Arial Narrow" w:eastAsia="Times New Roman" w:hAnsi="Arial Narrow" w:cs="Arial"/>
          <w:color w:val="000000"/>
          <w:lang w:eastAsia="pt-BR"/>
        </w:rPr>
        <w:br/>
        <w:t>17  SECRETARIA MUNICIPAL DE ESPORTE, CULTURA E LAZER</w:t>
      </w:r>
      <w:r w:rsidRPr="0072165B">
        <w:rPr>
          <w:rFonts w:ascii="Arial Narrow" w:eastAsia="Times New Roman" w:hAnsi="Arial Narrow" w:cs="Arial"/>
          <w:color w:val="000000"/>
          <w:lang w:eastAsia="pt-BR"/>
        </w:rPr>
        <w:br/>
        <w:t>17.01  SECRETARIA MUNICIPAL DE ESPORTE, CULTURA E LAZER</w:t>
      </w:r>
      <w:r w:rsidRPr="0072165B">
        <w:rPr>
          <w:rFonts w:ascii="Arial Narrow" w:eastAsia="Times New Roman" w:hAnsi="Arial Narrow" w:cs="Arial"/>
          <w:color w:val="000000"/>
          <w:lang w:eastAsia="pt-BR"/>
        </w:rPr>
        <w:br/>
        <w:t>27.812.0809-2.029  FOMENTO AO ESPORTE E LAZER</w:t>
      </w:r>
      <w:r w:rsidRPr="0072165B">
        <w:rPr>
          <w:rFonts w:ascii="Arial Narrow" w:eastAsia="Times New Roman" w:hAnsi="Arial Narrow" w:cs="Arial"/>
          <w:color w:val="000000"/>
          <w:lang w:eastAsia="pt-BR"/>
        </w:rPr>
        <w:br/>
        <w:t>3.3.90.31.00  PREMIAÇÕES CULTURAIS, ARTÍSTICAS, CIENTÍFICAS, DESPORTIVAS E OUTRAS</w:t>
      </w:r>
      <w:r w:rsidRPr="0072165B">
        <w:rPr>
          <w:rFonts w:ascii="Arial Narrow" w:eastAsia="Times New Roman" w:hAnsi="Arial Narrow" w:cs="Arial"/>
          <w:color w:val="000000"/>
          <w:lang w:eastAsia="pt-BR"/>
        </w:rPr>
        <w:br/>
        <w:t>FONTE: 1.500.0000-000     /     FICHA: 649</w:t>
      </w:r>
      <w:r w:rsidRPr="0072165B">
        <w:rPr>
          <w:rFonts w:ascii="Arial Narrow" w:eastAsia="Times New Roman" w:hAnsi="Arial Narrow" w:cs="Arial"/>
          <w:color w:val="000000"/>
          <w:lang w:eastAsia="pt-BR"/>
        </w:rPr>
        <w:br/>
        <w:t>R$ 2.880,00 (dois mil e oitocentos e oitenta reais)</w:t>
      </w:r>
    </w:p>
    <w:p w14:paraId="1B48F572" w14:textId="3ECBCFD1" w:rsidR="00D252AE" w:rsidRPr="0072165B" w:rsidRDefault="00D252AE" w:rsidP="00D252AE">
      <w:pPr>
        <w:pStyle w:val="Nivel01"/>
        <w:rPr>
          <w:rFonts w:ascii="Arial Narrow" w:hAnsi="Arial Narrow"/>
          <w:color w:val="auto"/>
          <w:sz w:val="26"/>
          <w:szCs w:val="26"/>
        </w:rPr>
      </w:pPr>
      <w:r w:rsidRPr="0072165B">
        <w:rPr>
          <w:rFonts w:ascii="Arial Narrow" w:hAnsi="Arial Narrow"/>
          <w:color w:val="auto"/>
          <w:sz w:val="26"/>
          <w:szCs w:val="26"/>
        </w:rPr>
        <w:t>CLÁUSULA DÉCIMA QUARTA – DOS CASOS OMISSOS (</w:t>
      </w:r>
      <w:hyperlink r:id="rId45" w:anchor="art92" w:history="1">
        <w:r w:rsidRPr="0072165B">
          <w:rPr>
            <w:rStyle w:val="Hyperlink"/>
            <w:rFonts w:ascii="Arial Narrow" w:hAnsi="Arial Narrow"/>
            <w:color w:val="auto"/>
            <w:sz w:val="26"/>
            <w:szCs w:val="26"/>
          </w:rPr>
          <w:t xml:space="preserve">art. 92, </w:t>
        </w:r>
        <w:proofErr w:type="spellStart"/>
        <w:r w:rsidRPr="0072165B">
          <w:rPr>
            <w:rStyle w:val="Hyperlink"/>
            <w:rFonts w:ascii="Arial Narrow" w:hAnsi="Arial Narrow"/>
            <w:color w:val="auto"/>
            <w:sz w:val="26"/>
            <w:szCs w:val="26"/>
          </w:rPr>
          <w:t>III</w:t>
        </w:r>
        <w:proofErr w:type="spellEnd"/>
      </w:hyperlink>
      <w:r w:rsidRPr="0072165B">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6"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7"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8"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49"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0"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1"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SÉTIMA– FORO (</w:t>
      </w:r>
      <w:hyperlink r:id="rId52"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3"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37EC5455"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172CDE">
        <w:rPr>
          <w:rFonts w:ascii="Arial Narrow" w:hAnsi="Arial Narrow"/>
          <w:color w:val="auto"/>
          <w:sz w:val="26"/>
          <w:szCs w:val="26"/>
        </w:rPr>
        <w:t>08 de março</w:t>
      </w:r>
      <w:r w:rsidR="00D2683A" w:rsidRPr="00356575">
        <w:rPr>
          <w:rFonts w:ascii="Arial Narrow" w:hAnsi="Arial Narrow"/>
          <w:color w:val="auto"/>
          <w:sz w:val="26"/>
          <w:szCs w:val="26"/>
        </w:rPr>
        <w:t xml:space="preserve">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323EDB3A" w:rsidR="004F20D0" w:rsidRPr="00BE7876" w:rsidRDefault="00172CDE" w:rsidP="004F20D0">
            <w:pPr>
              <w:widowControl w:val="0"/>
              <w:jc w:val="center"/>
              <w:rPr>
                <w:rFonts w:ascii="Arial Narrow" w:hAnsi="Arial Narrow" w:cs="Arial"/>
                <w:i/>
                <w:iCs/>
                <w:sz w:val="26"/>
                <w:szCs w:val="26"/>
              </w:rPr>
            </w:pPr>
            <w:r>
              <w:rPr>
                <w:rFonts w:ascii="Arial Narrow" w:hAnsi="Arial Narrow" w:cs="Arial"/>
                <w:i/>
                <w:iCs/>
                <w:sz w:val="26"/>
                <w:szCs w:val="26"/>
              </w:rPr>
              <w:t>Lídio Ledesma</w:t>
            </w:r>
          </w:p>
          <w:p w14:paraId="543D21CF" w14:textId="579F589C" w:rsidR="004F20D0" w:rsidRPr="00BE7876" w:rsidRDefault="00172CDE"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PREFEITO MUNICIPAL</w:t>
            </w:r>
          </w:p>
          <w:p w14:paraId="6654292F" w14:textId="4846D67E" w:rsidR="00D252AE" w:rsidRPr="00356575" w:rsidRDefault="004F20D0" w:rsidP="004F20D0">
            <w:pPr>
              <w:widowControl w:val="0"/>
              <w:autoSpaceDE w:val="0"/>
              <w:autoSpaceDN w:val="0"/>
              <w:adjustRightInd w:val="0"/>
              <w:jc w:val="center"/>
              <w:rPr>
                <w:rFonts w:ascii="Arial Narrow" w:hAnsi="Arial Narrow" w:cs="Arial"/>
                <w:b/>
                <w:bCs/>
                <w:sz w:val="26"/>
                <w:szCs w:val="26"/>
              </w:rPr>
            </w:pPr>
            <w:r w:rsidRPr="00BE7876">
              <w:rPr>
                <w:rFonts w:ascii="Arial Narrow" w:hAnsi="Arial Narrow" w:cs="Tahoma"/>
                <w:b/>
                <w:bCs/>
                <w:sz w:val="26"/>
                <w:szCs w:val="26"/>
              </w:rPr>
              <w:t>CONTRATANTE</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4E2AD970" w14:textId="2FCBEF7D" w:rsidR="00DC0FBD" w:rsidRDefault="00DC0FBD" w:rsidP="006F143D">
            <w:pPr>
              <w:widowControl w:val="0"/>
              <w:autoSpaceDE w:val="0"/>
              <w:autoSpaceDN w:val="0"/>
              <w:adjustRightInd w:val="0"/>
              <w:jc w:val="center"/>
              <w:rPr>
                <w:rFonts w:ascii="Arial Narrow" w:eastAsia="Arial" w:hAnsi="Arial Narrow" w:cs="Arial"/>
                <w:i/>
                <w:iCs/>
                <w:sz w:val="26"/>
                <w:szCs w:val="26"/>
              </w:rPr>
            </w:pPr>
            <w:r w:rsidRPr="00DC0FBD">
              <w:rPr>
                <w:rFonts w:ascii="Arial Narrow" w:eastAsia="Arial" w:hAnsi="Arial Narrow" w:cs="Arial"/>
                <w:i/>
                <w:iCs/>
                <w:sz w:val="26"/>
                <w:szCs w:val="26"/>
              </w:rPr>
              <w:t xml:space="preserve">Cesar Augusto </w:t>
            </w:r>
            <w:proofErr w:type="spellStart"/>
            <w:r w:rsidRPr="00DC0FBD">
              <w:rPr>
                <w:rFonts w:ascii="Arial Narrow" w:eastAsia="Arial" w:hAnsi="Arial Narrow" w:cs="Arial"/>
                <w:i/>
                <w:iCs/>
                <w:sz w:val="26"/>
                <w:szCs w:val="26"/>
              </w:rPr>
              <w:t>Roz</w:t>
            </w:r>
            <w:r>
              <w:rPr>
                <w:rFonts w:ascii="Arial Narrow" w:eastAsia="Arial" w:hAnsi="Arial Narrow" w:cs="Arial"/>
                <w:i/>
                <w:iCs/>
                <w:sz w:val="26"/>
                <w:szCs w:val="26"/>
              </w:rPr>
              <w:t>ã</w:t>
            </w:r>
            <w:r w:rsidRPr="00DC0FBD">
              <w:rPr>
                <w:rFonts w:ascii="Arial Narrow" w:eastAsia="Arial" w:hAnsi="Arial Narrow" w:cs="Arial"/>
                <w:i/>
                <w:iCs/>
                <w:sz w:val="26"/>
                <w:szCs w:val="26"/>
              </w:rPr>
              <w:t>o</w:t>
            </w:r>
            <w:proofErr w:type="spellEnd"/>
          </w:p>
          <w:p w14:paraId="70CD54EF" w14:textId="77777777" w:rsidR="00DC0FBD" w:rsidRDefault="00DC0FBD" w:rsidP="006F143D">
            <w:pPr>
              <w:widowControl w:val="0"/>
              <w:autoSpaceDE w:val="0"/>
              <w:autoSpaceDN w:val="0"/>
              <w:adjustRightInd w:val="0"/>
              <w:jc w:val="center"/>
              <w:rPr>
                <w:rFonts w:ascii="Arial Narrow" w:eastAsia="Arial" w:hAnsi="Arial Narrow" w:cs="Arial"/>
                <w:b/>
                <w:bCs/>
                <w:sz w:val="26"/>
                <w:szCs w:val="26"/>
              </w:rPr>
            </w:pPr>
            <w:proofErr w:type="spellStart"/>
            <w:r>
              <w:rPr>
                <w:rFonts w:ascii="Arial Narrow" w:eastAsia="Arial" w:hAnsi="Arial Narrow" w:cs="Arial"/>
                <w:b/>
                <w:bCs/>
                <w:sz w:val="26"/>
                <w:szCs w:val="26"/>
              </w:rPr>
              <w:t>LAS</w:t>
            </w:r>
            <w:proofErr w:type="spellEnd"/>
            <w:r>
              <w:rPr>
                <w:rFonts w:ascii="Arial Narrow" w:eastAsia="Arial" w:hAnsi="Arial Narrow" w:cs="Arial"/>
                <w:b/>
                <w:bCs/>
                <w:sz w:val="26"/>
                <w:szCs w:val="26"/>
              </w:rPr>
              <w:t xml:space="preserve"> BRISAS ARTIGOS ESPORTIVOS LTDA.</w:t>
            </w:r>
          </w:p>
          <w:p w14:paraId="01D4E4CF" w14:textId="592B64F8" w:rsidR="00D252AE" w:rsidRPr="00356575" w:rsidRDefault="00D252AE" w:rsidP="006F143D">
            <w:pPr>
              <w:widowControl w:val="0"/>
              <w:autoSpaceDE w:val="0"/>
              <w:autoSpaceDN w:val="0"/>
              <w:adjustRightInd w:val="0"/>
              <w:jc w:val="center"/>
              <w:rPr>
                <w:rFonts w:ascii="Arial Narrow" w:hAnsi="Arial Narrow" w:cs="Arial"/>
                <w:b/>
                <w:bCs/>
                <w:sz w:val="26"/>
                <w:szCs w:val="26"/>
              </w:rPr>
            </w:pPr>
            <w:r w:rsidRPr="00356575">
              <w:rPr>
                <w:rFonts w:ascii="Arial Narrow" w:hAnsi="Arial Narrow" w:cs="Arial"/>
                <w:b/>
                <w:bCs/>
                <w:sz w:val="26"/>
                <w:szCs w:val="26"/>
              </w:rPr>
              <w:t>(CONTRATADA)</w:t>
            </w:r>
          </w:p>
        </w:tc>
      </w:tr>
    </w:tbl>
    <w:p w14:paraId="325D3D4C" w14:textId="77777777" w:rsidR="00D252AE" w:rsidRPr="00356575" w:rsidRDefault="00D252AE"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287F2E5D" w:rsidR="00D252AE" w:rsidRPr="00356575" w:rsidRDefault="00172CDE"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Lucas Moreira Lopes</w:t>
            </w:r>
          </w:p>
          <w:p w14:paraId="43B982F4" w14:textId="4C9A878D" w:rsidR="00D252AE" w:rsidRPr="00356575" w:rsidRDefault="00172CDE"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852F7F">
      <w:headerReference w:type="default" r:id="rId54"/>
      <w:footerReference w:type="default" r:id="rId55"/>
      <w:pgSz w:w="11906" w:h="16838"/>
      <w:pgMar w:top="1559"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B1A0" w14:textId="77777777" w:rsidR="008C0526" w:rsidRDefault="008C0526" w:rsidP="00D252AE">
      <w:r>
        <w:separator/>
      </w:r>
    </w:p>
  </w:endnote>
  <w:endnote w:type="continuationSeparator" w:id="0">
    <w:p w14:paraId="6F0B3533" w14:textId="77777777" w:rsidR="008C0526" w:rsidRDefault="008C0526"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7777777" w:rsidR="00D252AE" w:rsidRDefault="00D252AE">
    <w:pPr>
      <w:pStyle w:val="Rodap"/>
    </w:pPr>
    <w:r>
      <w:rPr>
        <w:noProof/>
      </w:rPr>
      <w:drawing>
        <wp:anchor distT="0" distB="0" distL="114300" distR="114300" simplePos="0" relativeHeight="251659264" behindDoc="0" locked="0" layoutInCell="1" allowOverlap="1" wp14:anchorId="5C30DB19" wp14:editId="595244B1">
          <wp:simplePos x="0" y="0"/>
          <wp:positionH relativeFrom="margin">
            <wp:align>right</wp:align>
          </wp:positionH>
          <wp:positionV relativeFrom="paragraph">
            <wp:posOffset>-12421</wp:posOffset>
          </wp:positionV>
          <wp:extent cx="5400040" cy="3492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9BC30" w14:textId="77777777" w:rsidR="008C0526" w:rsidRDefault="008C0526" w:rsidP="00D252AE">
      <w:r>
        <w:separator/>
      </w:r>
    </w:p>
  </w:footnote>
  <w:footnote w:type="continuationSeparator" w:id="0">
    <w:p w14:paraId="2E0C9D58" w14:textId="77777777" w:rsidR="008C0526" w:rsidRDefault="008C0526"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77777777" w:rsidR="00D252AE" w:rsidRDefault="00D252AE">
    <w:pPr>
      <w:pStyle w:val="Cabealho"/>
    </w:pPr>
    <w:r>
      <w:rPr>
        <w:rFonts w:ascii="Arial Narrow" w:hAnsi="Arial Narrow"/>
        <w:b/>
        <w:noProof/>
        <w:sz w:val="28"/>
        <w:szCs w:val="28"/>
      </w:rPr>
      <w:drawing>
        <wp:anchor distT="0" distB="0" distL="114300" distR="114300" simplePos="0" relativeHeight="251658240" behindDoc="0" locked="0" layoutInCell="1" allowOverlap="1" wp14:anchorId="34225CE2" wp14:editId="25522A63">
          <wp:simplePos x="0" y="0"/>
          <wp:positionH relativeFrom="margin">
            <wp:align>left</wp:align>
          </wp:positionH>
          <wp:positionV relativeFrom="paragraph">
            <wp:posOffset>-322554</wp:posOffset>
          </wp:positionV>
          <wp:extent cx="5405362" cy="78272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6550" cy="797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0D5565"/>
    <w:rsid w:val="00166A7C"/>
    <w:rsid w:val="00172CDE"/>
    <w:rsid w:val="00176DAA"/>
    <w:rsid w:val="00241831"/>
    <w:rsid w:val="002D7273"/>
    <w:rsid w:val="00346E0B"/>
    <w:rsid w:val="00356575"/>
    <w:rsid w:val="003B190E"/>
    <w:rsid w:val="003B44C6"/>
    <w:rsid w:val="003F4093"/>
    <w:rsid w:val="00482D4E"/>
    <w:rsid w:val="004B24C1"/>
    <w:rsid w:val="004F20D0"/>
    <w:rsid w:val="004F318B"/>
    <w:rsid w:val="004F47E2"/>
    <w:rsid w:val="005100A5"/>
    <w:rsid w:val="00582D4F"/>
    <w:rsid w:val="005B6192"/>
    <w:rsid w:val="006D3265"/>
    <w:rsid w:val="0072165B"/>
    <w:rsid w:val="00746C92"/>
    <w:rsid w:val="00746DEF"/>
    <w:rsid w:val="0079126C"/>
    <w:rsid w:val="007B4AAB"/>
    <w:rsid w:val="00817FA3"/>
    <w:rsid w:val="00823F05"/>
    <w:rsid w:val="00852F7F"/>
    <w:rsid w:val="008809B3"/>
    <w:rsid w:val="008C0526"/>
    <w:rsid w:val="008C76ED"/>
    <w:rsid w:val="009C2D65"/>
    <w:rsid w:val="009F0E77"/>
    <w:rsid w:val="00A34F15"/>
    <w:rsid w:val="00AE18BF"/>
    <w:rsid w:val="00C11B29"/>
    <w:rsid w:val="00D252AE"/>
    <w:rsid w:val="00D2683A"/>
    <w:rsid w:val="00DC0FBD"/>
    <w:rsid w:val="00E55025"/>
    <w:rsid w:val="00E74FBC"/>
    <w:rsid w:val="00EB22D4"/>
    <w:rsid w:val="00FA0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467666829">
      <w:bodyDiv w:val="1"/>
      <w:marLeft w:val="0"/>
      <w:marRight w:val="0"/>
      <w:marTop w:val="0"/>
      <w:marBottom w:val="0"/>
      <w:divBdr>
        <w:top w:val="none" w:sz="0" w:space="0" w:color="auto"/>
        <w:left w:val="none" w:sz="0" w:space="0" w:color="auto"/>
        <w:bottom w:val="none" w:sz="0" w:space="0" w:color="auto"/>
        <w:right w:val="none" w:sz="0" w:space="0" w:color="auto"/>
      </w:divBdr>
    </w:div>
    <w:div w:id="765154210">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324352203">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 w:id="20447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4248</Words>
  <Characters>22943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2024-03-15T14:00:00Z</dcterms:created>
  <dcterms:modified xsi:type="dcterms:W3CDTF">2024-03-15T14:19:00Z</dcterms:modified>
</cp:coreProperties>
</file>