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5E4FFB">
        <w:rPr>
          <w:rFonts w:ascii="Arial Narrow" w:hAnsi="Arial Narrow"/>
          <w:b/>
          <w:bCs/>
          <w:sz w:val="28"/>
          <w:szCs w:val="28"/>
        </w:rPr>
        <w:t>1</w:t>
      </w:r>
      <w:r w:rsidR="00CB3706">
        <w:rPr>
          <w:rFonts w:ascii="Arial Narrow" w:hAnsi="Arial Narrow"/>
          <w:b/>
          <w:bCs/>
          <w:sz w:val="28"/>
          <w:szCs w:val="28"/>
        </w:rPr>
        <w:t>03</w:t>
      </w:r>
      <w:r w:rsidRPr="00E103AD">
        <w:rPr>
          <w:rFonts w:ascii="Arial Narrow" w:hAnsi="Arial Narrow"/>
          <w:b/>
          <w:bCs/>
          <w:sz w:val="28"/>
          <w:szCs w:val="28"/>
        </w:rPr>
        <w:t xml:space="preserve"> /201</w:t>
      </w:r>
      <w:r w:rsidR="00CB3706">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DF7886">
        <w:rPr>
          <w:rFonts w:ascii="Arial Narrow" w:hAnsi="Arial Narrow"/>
          <w:b/>
          <w:sz w:val="28"/>
          <w:szCs w:val="28"/>
        </w:rPr>
        <w:t>ISAIAS CELESTINO</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w:t>
      </w:r>
      <w:r w:rsidR="003D76B7">
        <w:rPr>
          <w:rFonts w:ascii="Arial Narrow" w:hAnsi="Arial Narrow"/>
          <w:sz w:val="28"/>
          <w:szCs w:val="28"/>
        </w:rPr>
        <w:t>a</w:t>
      </w:r>
      <w:r w:rsidR="005E4FFB">
        <w:rPr>
          <w:rFonts w:ascii="Arial Narrow" w:hAnsi="Arial Narrow"/>
          <w:sz w:val="28"/>
          <w:szCs w:val="28"/>
        </w:rPr>
        <w:t xml:space="preserve"> Senhor</w:t>
      </w:r>
      <w:r w:rsidR="003D76B7">
        <w:rPr>
          <w:rFonts w:ascii="Arial Narrow" w:hAnsi="Arial Narrow"/>
          <w:sz w:val="28"/>
          <w:szCs w:val="28"/>
        </w:rPr>
        <w:t>a</w:t>
      </w:r>
      <w:r w:rsidRPr="00E103AD">
        <w:rPr>
          <w:rFonts w:ascii="Arial Narrow" w:hAnsi="Arial Narrow"/>
          <w:sz w:val="28"/>
          <w:szCs w:val="28"/>
        </w:rPr>
        <w:t xml:space="preserve"> </w:t>
      </w:r>
      <w:r w:rsidR="00DF7886">
        <w:rPr>
          <w:rFonts w:ascii="Arial Narrow" w:hAnsi="Arial Narrow"/>
          <w:b/>
          <w:sz w:val="28"/>
          <w:szCs w:val="28"/>
        </w:rPr>
        <w:t>ISAIAS CELESTINO</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DF7886">
        <w:rPr>
          <w:rFonts w:ascii="Arial Narrow" w:hAnsi="Arial Narrow"/>
          <w:sz w:val="28"/>
          <w:szCs w:val="28"/>
        </w:rPr>
        <w:t>312.470.321-91</w:t>
      </w:r>
      <w:r w:rsidRPr="00E103AD">
        <w:rPr>
          <w:rFonts w:ascii="Arial Narrow" w:hAnsi="Arial Narrow"/>
          <w:sz w:val="28"/>
          <w:szCs w:val="28"/>
        </w:rPr>
        <w:t xml:space="preserve">, </w:t>
      </w:r>
      <w:r w:rsidR="00E016BA">
        <w:rPr>
          <w:rFonts w:ascii="Arial Narrow" w:hAnsi="Arial Narrow"/>
          <w:sz w:val="28"/>
          <w:szCs w:val="28"/>
        </w:rPr>
        <w:t xml:space="preserve">residente e domiciliada no P.A. Colorado Lote </w:t>
      </w:r>
      <w:r w:rsidR="00DF7886">
        <w:rPr>
          <w:rFonts w:ascii="Arial Narrow" w:hAnsi="Arial Narrow"/>
          <w:sz w:val="28"/>
          <w:szCs w:val="28"/>
        </w:rPr>
        <w:t>14</w:t>
      </w:r>
      <w:r w:rsidR="005B20BF">
        <w:rPr>
          <w:rFonts w:ascii="Arial Narrow" w:hAnsi="Arial Narrow"/>
          <w:sz w:val="28"/>
          <w:szCs w:val="28"/>
        </w:rPr>
        <w:t>,</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CB3706">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CB3706">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CB3706">
        <w:rPr>
          <w:rFonts w:ascii="Arial Narrow" w:hAnsi="Arial Narrow" w:cs="Arial"/>
          <w:sz w:val="28"/>
          <w:szCs w:val="28"/>
        </w:rPr>
        <w:t>283,20</w:t>
      </w:r>
      <w:r w:rsidR="003D76B7">
        <w:rPr>
          <w:rFonts w:ascii="Arial Narrow" w:hAnsi="Arial Narrow" w:cs="Arial"/>
          <w:sz w:val="28"/>
          <w:szCs w:val="28"/>
        </w:rPr>
        <w:t xml:space="preserve"> </w:t>
      </w:r>
      <w:r w:rsidRPr="00E103AD">
        <w:rPr>
          <w:rFonts w:ascii="Arial Narrow" w:hAnsi="Arial Narrow" w:cs="Arial"/>
          <w:sz w:val="28"/>
          <w:szCs w:val="28"/>
        </w:rPr>
        <w:t xml:space="preserve"> (</w:t>
      </w:r>
      <w:r w:rsidR="00CB3706">
        <w:rPr>
          <w:rFonts w:ascii="Arial Narrow" w:hAnsi="Arial Narrow" w:cs="Arial"/>
          <w:sz w:val="28"/>
          <w:szCs w:val="28"/>
        </w:rPr>
        <w:t xml:space="preserve">duzentos e oitenta e três reais e vinte </w:t>
      </w:r>
      <w:r w:rsidR="00067DFD">
        <w:rPr>
          <w:rFonts w:ascii="Arial Narrow" w:hAnsi="Arial Narrow" w:cs="Arial"/>
          <w:sz w:val="28"/>
          <w:szCs w:val="28"/>
        </w:rPr>
        <w:t>centavos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r w:rsidR="00CB3706">
        <w:rPr>
          <w:rFonts w:ascii="Arial Narrow" w:hAnsi="Arial Narrow" w:cs="Arial"/>
          <w:sz w:val="28"/>
          <w:szCs w:val="28"/>
        </w:rPr>
        <w:t xml:space="preserve"> </w:t>
      </w: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7"/>
        <w:gridCol w:w="400"/>
        <w:gridCol w:w="1054"/>
        <w:gridCol w:w="1185"/>
        <w:gridCol w:w="860"/>
        <w:gridCol w:w="860"/>
      </w:tblGrid>
      <w:tr w:rsidR="00CB3706" w:rsidRPr="00CB3706" w:rsidTr="00CB370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B3706" w:rsidRPr="00CB3706" w:rsidRDefault="00CB3706" w:rsidP="00CB3706">
            <w:pPr>
              <w:jc w:val="center"/>
              <w:rPr>
                <w:rFonts w:ascii="Tahoma" w:hAnsi="Tahoma" w:cs="Tahoma"/>
                <w:sz w:val="10"/>
                <w:szCs w:val="10"/>
              </w:rPr>
            </w:pPr>
            <w:r w:rsidRPr="00CB3706">
              <w:rPr>
                <w:rFonts w:ascii="Tahoma" w:hAnsi="Tahoma" w:cs="Tahoma"/>
                <w:sz w:val="10"/>
                <w:szCs w:val="10"/>
              </w:rPr>
              <w:t>VALOR TOTAL</w:t>
            </w:r>
          </w:p>
        </w:tc>
      </w:tr>
      <w:tr w:rsidR="00CB3706" w:rsidRPr="00CB3706" w:rsidTr="00CB370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12930</w:t>
            </w:r>
          </w:p>
        </w:tc>
        <w:tc>
          <w:tcPr>
            <w:tcW w:w="368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both"/>
              <w:rPr>
                <w:rFonts w:ascii="Tahoma" w:hAnsi="Tahoma" w:cs="Tahoma"/>
                <w:color w:val="000000"/>
                <w:sz w:val="14"/>
                <w:szCs w:val="14"/>
              </w:rPr>
            </w:pPr>
            <w:r w:rsidRPr="00CB3706">
              <w:rPr>
                <w:rFonts w:ascii="Tahoma" w:hAnsi="Tahoma" w:cs="Tahoma"/>
                <w:color w:val="000000"/>
                <w:sz w:val="14"/>
                <w:szCs w:val="14"/>
              </w:rPr>
              <w:t>LEGUME IN NATURA PEPINO COMUM, TAMANHO MÉDIO, SEM MANCHAS, COM COLORAÇÃO UNIFORME E COM BRIHO FIRME, SEM FERIMENTOS OU DEFEITOS, LIVRES DE TERRA OU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30,00</w:t>
            </w:r>
          </w:p>
        </w:tc>
        <w:tc>
          <w:tcPr>
            <w:tcW w:w="12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right"/>
              <w:rPr>
                <w:rFonts w:ascii="Tahoma" w:hAnsi="Tahoma" w:cs="Tahoma"/>
                <w:color w:val="000000"/>
                <w:sz w:val="14"/>
                <w:szCs w:val="14"/>
              </w:rPr>
            </w:pPr>
            <w:r w:rsidRPr="00CB3706">
              <w:rPr>
                <w:rFonts w:ascii="Tahoma" w:hAnsi="Tahoma" w:cs="Tahoma"/>
                <w:color w:val="000000"/>
                <w:sz w:val="14"/>
                <w:szCs w:val="14"/>
              </w:rPr>
              <w:t>2,82</w:t>
            </w:r>
          </w:p>
        </w:tc>
        <w:tc>
          <w:tcPr>
            <w:tcW w:w="8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right"/>
              <w:rPr>
                <w:rFonts w:ascii="Tahoma" w:hAnsi="Tahoma" w:cs="Tahoma"/>
                <w:color w:val="000000"/>
                <w:sz w:val="14"/>
                <w:szCs w:val="14"/>
              </w:rPr>
            </w:pPr>
            <w:r w:rsidRPr="00CB3706">
              <w:rPr>
                <w:rFonts w:ascii="Tahoma" w:hAnsi="Tahoma" w:cs="Tahoma"/>
                <w:color w:val="000000"/>
                <w:sz w:val="14"/>
                <w:szCs w:val="14"/>
              </w:rPr>
              <w:t>84,60</w:t>
            </w:r>
          </w:p>
        </w:tc>
      </w:tr>
      <w:tr w:rsidR="00CB3706" w:rsidRPr="00CB3706" w:rsidTr="00CB370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20750</w:t>
            </w:r>
          </w:p>
        </w:tc>
        <w:tc>
          <w:tcPr>
            <w:tcW w:w="368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both"/>
              <w:rPr>
                <w:rFonts w:ascii="Tahoma" w:hAnsi="Tahoma" w:cs="Tahoma"/>
                <w:color w:val="000000"/>
                <w:sz w:val="14"/>
                <w:szCs w:val="14"/>
              </w:rPr>
            </w:pPr>
            <w:r w:rsidRPr="00CB3706">
              <w:rPr>
                <w:rFonts w:ascii="Tahoma" w:hAnsi="Tahoma" w:cs="Tahoma"/>
                <w:color w:val="000000"/>
                <w:sz w:val="14"/>
                <w:szCs w:val="14"/>
              </w:rPr>
              <w:t>LEGUME IN NATURA TIPO VAGEM, TAMANHO MÉDIO, SEM FERIMENTOS, MANCHAS OU DEFEITOS NA SUA SUPERFÍCIE</w:t>
            </w:r>
          </w:p>
        </w:tc>
        <w:tc>
          <w:tcPr>
            <w:tcW w:w="4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center"/>
              <w:rPr>
                <w:rFonts w:ascii="Tahoma" w:hAnsi="Tahoma" w:cs="Tahoma"/>
                <w:color w:val="000000"/>
                <w:sz w:val="14"/>
                <w:szCs w:val="14"/>
              </w:rPr>
            </w:pPr>
            <w:r w:rsidRPr="00CB3706">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right"/>
              <w:rPr>
                <w:rFonts w:ascii="Tahoma" w:hAnsi="Tahoma" w:cs="Tahoma"/>
                <w:color w:val="000000"/>
                <w:sz w:val="14"/>
                <w:szCs w:val="14"/>
              </w:rPr>
            </w:pPr>
            <w:r w:rsidRPr="00CB3706">
              <w:rPr>
                <w:rFonts w:ascii="Tahoma" w:hAnsi="Tahoma" w:cs="Tahoma"/>
                <w:color w:val="000000"/>
                <w:sz w:val="14"/>
                <w:szCs w:val="14"/>
              </w:rPr>
              <w:t>9,93</w:t>
            </w:r>
          </w:p>
        </w:tc>
        <w:tc>
          <w:tcPr>
            <w:tcW w:w="860" w:type="dxa"/>
            <w:tcBorders>
              <w:top w:val="nil"/>
              <w:left w:val="nil"/>
              <w:bottom w:val="single" w:sz="4" w:space="0" w:color="000000"/>
              <w:right w:val="single" w:sz="4" w:space="0" w:color="000000"/>
            </w:tcBorders>
            <w:shd w:val="clear" w:color="auto" w:fill="auto"/>
            <w:vAlign w:val="center"/>
            <w:hideMark/>
          </w:tcPr>
          <w:p w:rsidR="00CB3706" w:rsidRPr="00CB3706" w:rsidRDefault="00CB3706" w:rsidP="00CB3706">
            <w:pPr>
              <w:jc w:val="right"/>
              <w:rPr>
                <w:rFonts w:ascii="Tahoma" w:hAnsi="Tahoma" w:cs="Tahoma"/>
                <w:color w:val="000000"/>
                <w:sz w:val="14"/>
                <w:szCs w:val="14"/>
              </w:rPr>
            </w:pPr>
            <w:r w:rsidRPr="00CB3706">
              <w:rPr>
                <w:rFonts w:ascii="Tahoma" w:hAnsi="Tahoma" w:cs="Tahoma"/>
                <w:color w:val="000000"/>
                <w:sz w:val="14"/>
                <w:szCs w:val="14"/>
              </w:rPr>
              <w:t>198,60</w:t>
            </w:r>
          </w:p>
        </w:tc>
      </w:tr>
      <w:tr w:rsidR="00CB3706" w:rsidRPr="00CB3706" w:rsidTr="00CB370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706" w:rsidRPr="00CB3706" w:rsidRDefault="00CB3706" w:rsidP="00CB3706">
            <w:pPr>
              <w:jc w:val="right"/>
              <w:rPr>
                <w:rFonts w:ascii="Tahoma" w:hAnsi="Tahoma" w:cs="Tahoma"/>
                <w:color w:val="000000"/>
                <w:sz w:val="14"/>
                <w:szCs w:val="14"/>
              </w:rPr>
            </w:pPr>
            <w:r w:rsidRPr="00CB3706">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B3706" w:rsidRPr="00CB3706" w:rsidRDefault="00CB3706" w:rsidP="00CB3706">
            <w:pPr>
              <w:jc w:val="center"/>
              <w:rPr>
                <w:rFonts w:ascii="Tahoma" w:hAnsi="Tahoma" w:cs="Tahoma"/>
                <w:b/>
                <w:bCs/>
                <w:color w:val="000000"/>
                <w:sz w:val="16"/>
                <w:szCs w:val="16"/>
              </w:rPr>
            </w:pPr>
            <w:r w:rsidRPr="00CB3706">
              <w:rPr>
                <w:rFonts w:ascii="Tahoma" w:hAnsi="Tahoma" w:cs="Tahoma"/>
                <w:b/>
                <w:bCs/>
                <w:color w:val="000000"/>
                <w:sz w:val="16"/>
                <w:szCs w:val="16"/>
              </w:rPr>
              <w:t>283,20</w:t>
            </w:r>
          </w:p>
        </w:tc>
      </w:tr>
    </w:tbl>
    <w:p w:rsidR="00A866D0" w:rsidRPr="00E103AD" w:rsidRDefault="00067DFD" w:rsidP="00E016BA">
      <w:pPr>
        <w:autoSpaceDE w:val="0"/>
        <w:autoSpaceDN w:val="0"/>
        <w:adjustRightInd w:val="0"/>
        <w:jc w:val="center"/>
        <w:rPr>
          <w:rFonts w:ascii="Arial Narrow" w:hAnsi="Arial Narrow" w:cs="Arial"/>
          <w:sz w:val="28"/>
          <w:szCs w:val="28"/>
        </w:rPr>
      </w:pPr>
      <w:r>
        <w:rPr>
          <w:rFonts w:ascii="Arial Narrow" w:hAnsi="Arial Narrow" w:cs="Arial"/>
          <w:sz w:val="28"/>
          <w:szCs w:val="28"/>
        </w:rPr>
        <w:br w:type="textWrapping" w:clear="all"/>
      </w: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CB3706" w:rsidRPr="00CB3706" w:rsidRDefault="00CB3706" w:rsidP="00CB3706">
      <w:pPr>
        <w:rPr>
          <w:rFonts w:ascii="Verdana" w:hAnsi="Verdana" w:cs="Arial"/>
          <w:color w:val="000000"/>
          <w:sz w:val="20"/>
          <w:szCs w:val="20"/>
        </w:rPr>
      </w:pPr>
      <w:r w:rsidRPr="00CB3706">
        <w:rPr>
          <w:rFonts w:ascii="Verdana" w:hAnsi="Verdana" w:cs="Arial"/>
          <w:color w:val="000000"/>
          <w:sz w:val="20"/>
          <w:szCs w:val="20"/>
        </w:rPr>
        <w:t>1  PREFEITURA MUNICIPAL DE IGUATEMI</w:t>
      </w:r>
      <w:r w:rsidRPr="00CB3706">
        <w:rPr>
          <w:rFonts w:ascii="Verdana" w:hAnsi="Verdana" w:cs="Arial"/>
          <w:color w:val="000000"/>
          <w:sz w:val="20"/>
          <w:szCs w:val="20"/>
        </w:rPr>
        <w:br/>
        <w:t>05  SECRETARIA MUNICIPAL DE EDUCAÇÃO</w:t>
      </w:r>
      <w:r w:rsidRPr="00CB3706">
        <w:rPr>
          <w:rFonts w:ascii="Verdana" w:hAnsi="Verdana" w:cs="Arial"/>
          <w:color w:val="000000"/>
          <w:sz w:val="20"/>
          <w:szCs w:val="20"/>
        </w:rPr>
        <w:br/>
        <w:t>05.01  SECRETARIA MUNICIPAL DE EDUCAÇÃO</w:t>
      </w:r>
      <w:r w:rsidRPr="00CB3706">
        <w:rPr>
          <w:rFonts w:ascii="Verdana" w:hAnsi="Verdana" w:cs="Arial"/>
          <w:color w:val="000000"/>
          <w:sz w:val="20"/>
          <w:szCs w:val="20"/>
        </w:rPr>
        <w:br/>
        <w:t>12.306.0802-2.016  PROGRAMA NACIONAL DE ALIMENTAÇÃO ESCOLAR</w:t>
      </w:r>
      <w:r w:rsidRPr="00CB3706">
        <w:rPr>
          <w:rFonts w:ascii="Verdana" w:hAnsi="Verdana" w:cs="Arial"/>
          <w:color w:val="000000"/>
          <w:sz w:val="20"/>
          <w:szCs w:val="20"/>
        </w:rPr>
        <w:br/>
        <w:t>3.3.90.30.00  MATERIAL DE CONSUMO</w:t>
      </w:r>
      <w:r w:rsidRPr="00CB3706">
        <w:rPr>
          <w:rFonts w:ascii="Verdana" w:hAnsi="Verdana" w:cs="Arial"/>
          <w:color w:val="000000"/>
          <w:sz w:val="20"/>
          <w:szCs w:val="20"/>
        </w:rPr>
        <w:br/>
        <w:t>FONTE: 0.1.15-051     /     FICHA: 084</w:t>
      </w:r>
      <w:r w:rsidRPr="00CB3706">
        <w:rPr>
          <w:rFonts w:ascii="Verdana" w:hAnsi="Verdana" w:cs="Arial"/>
          <w:color w:val="000000"/>
          <w:sz w:val="20"/>
          <w:szCs w:val="20"/>
        </w:rPr>
        <w:br/>
        <w:t>R$ 283,20 (duzentos e oitenta e três reais e vinte centavos)</w:t>
      </w:r>
    </w:p>
    <w:p w:rsidR="007B0585" w:rsidRPr="00E103AD" w:rsidRDefault="007B0585"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lastRenderedPageBreak/>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CB3706">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CB3706">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CB3706">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3D76B7" w:rsidRDefault="003D76B7" w:rsidP="00E016BA">
      <w:pPr>
        <w:widowControl w:val="0"/>
        <w:jc w:val="right"/>
        <w:rPr>
          <w:rFonts w:ascii="Arial Narrow" w:hAnsi="Arial Narrow" w:cs="Arial"/>
          <w:iCs/>
          <w:sz w:val="28"/>
          <w:szCs w:val="28"/>
        </w:rPr>
      </w:pPr>
    </w:p>
    <w:p w:rsidR="003D76B7" w:rsidRDefault="003D76B7" w:rsidP="00E016BA">
      <w:pPr>
        <w:widowControl w:val="0"/>
        <w:jc w:val="right"/>
        <w:rPr>
          <w:rFonts w:ascii="Arial Narrow" w:hAnsi="Arial Narrow" w:cs="Arial"/>
          <w:iCs/>
          <w:sz w:val="28"/>
          <w:szCs w:val="28"/>
        </w:rPr>
      </w:pPr>
    </w:p>
    <w:p w:rsidR="003D76B7" w:rsidRPr="00E103AD" w:rsidRDefault="003D76B7"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DF7886"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ISAIAS CELESTINO</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FD5663"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63" w:rsidRDefault="00FD5663" w:rsidP="00A866D0">
      <w:r>
        <w:separator/>
      </w:r>
    </w:p>
  </w:endnote>
  <w:endnote w:type="continuationSeparator" w:id="0">
    <w:p w:rsidR="00FD5663" w:rsidRDefault="00FD5663"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63" w:rsidRDefault="00FD5663" w:rsidP="00A866D0">
      <w:r>
        <w:separator/>
      </w:r>
    </w:p>
  </w:footnote>
  <w:footnote w:type="continuationSeparator" w:id="0">
    <w:p w:rsidR="00FD5663" w:rsidRDefault="00FD5663"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67DFD"/>
    <w:rsid w:val="00293D78"/>
    <w:rsid w:val="003B0A12"/>
    <w:rsid w:val="003D76B7"/>
    <w:rsid w:val="004618D8"/>
    <w:rsid w:val="004646B0"/>
    <w:rsid w:val="005028C0"/>
    <w:rsid w:val="00510755"/>
    <w:rsid w:val="005B20BF"/>
    <w:rsid w:val="005E4FFB"/>
    <w:rsid w:val="00694BD6"/>
    <w:rsid w:val="007B0585"/>
    <w:rsid w:val="007E57E7"/>
    <w:rsid w:val="009526E5"/>
    <w:rsid w:val="00A866D0"/>
    <w:rsid w:val="00CB3706"/>
    <w:rsid w:val="00D20264"/>
    <w:rsid w:val="00D85552"/>
    <w:rsid w:val="00DF7886"/>
    <w:rsid w:val="00E016BA"/>
    <w:rsid w:val="00E82205"/>
    <w:rsid w:val="00EB347E"/>
    <w:rsid w:val="00FD5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1700">
      <w:bodyDiv w:val="1"/>
      <w:marLeft w:val="0"/>
      <w:marRight w:val="0"/>
      <w:marTop w:val="0"/>
      <w:marBottom w:val="0"/>
      <w:divBdr>
        <w:top w:val="none" w:sz="0" w:space="0" w:color="auto"/>
        <w:left w:val="none" w:sz="0" w:space="0" w:color="auto"/>
        <w:bottom w:val="none" w:sz="0" w:space="0" w:color="auto"/>
        <w:right w:val="none" w:sz="0" w:space="0" w:color="auto"/>
      </w:divBdr>
    </w:div>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39894169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1796480885">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2364</Words>
  <Characters>12770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3</cp:revision>
  <cp:lastPrinted>2017-05-18T18:51:00Z</cp:lastPrinted>
  <dcterms:created xsi:type="dcterms:W3CDTF">2017-05-18T18:52:00Z</dcterms:created>
  <dcterms:modified xsi:type="dcterms:W3CDTF">2018-05-21T12:39:00Z</dcterms:modified>
</cp:coreProperties>
</file>