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7C44C1A1"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997DB1">
        <w:rPr>
          <w:rFonts w:ascii="Arial Narrow" w:hAnsi="Arial Narrow" w:cstheme="majorHAnsi"/>
          <w:bCs/>
          <w:iCs/>
          <w:color w:val="auto"/>
          <w:sz w:val="28"/>
          <w:szCs w:val="28"/>
        </w:rPr>
        <w:t xml:space="preserve"> 001</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308509F8"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DE MATO GROSSO DO SUL, E</w:t>
      </w:r>
      <w:r>
        <w:rPr>
          <w:rFonts w:ascii="Arial Narrow" w:hAnsi="Arial Narrow" w:cstheme="majorHAnsi"/>
          <w:b/>
          <w:bCs/>
          <w:iCs/>
          <w:color w:val="000000"/>
          <w:sz w:val="28"/>
          <w:szCs w:val="28"/>
        </w:rPr>
        <w:t xml:space="preserve"> </w:t>
      </w:r>
      <w:r w:rsidR="00997DB1">
        <w:rPr>
          <w:rFonts w:ascii="Arial Narrow" w:hAnsi="Arial Narrow" w:cstheme="majorHAnsi"/>
          <w:b/>
          <w:bCs/>
          <w:iCs/>
          <w:color w:val="000000"/>
          <w:sz w:val="28"/>
          <w:szCs w:val="28"/>
        </w:rPr>
        <w:t>AGENOR FERNANDES NETO DOS SANTOS</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r w:rsidR="00921087">
        <w:rPr>
          <w:rFonts w:ascii="Arial Narrow" w:hAnsi="Arial Narrow" w:cstheme="majorHAnsi"/>
          <w:b/>
          <w:bCs/>
          <w:iCs/>
          <w:color w:val="000000"/>
          <w:sz w:val="28"/>
          <w:szCs w:val="28"/>
        </w:rPr>
        <w:t>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3D551692" w14:textId="5BAAAE83" w:rsidR="008B3BA4" w:rsidRDefault="008B3BA4" w:rsidP="008B3BA4">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w:t>
      </w:r>
      <w:r w:rsidR="00997DB1">
        <w:rPr>
          <w:rFonts w:ascii="Arial Narrow" w:hAnsi="Arial Narrow"/>
          <w:sz w:val="28"/>
          <w:szCs w:val="28"/>
        </w:rPr>
        <w:t>Física</w:t>
      </w:r>
      <w:r>
        <w:rPr>
          <w:rFonts w:ascii="Arial Narrow" w:hAnsi="Arial Narrow"/>
          <w:sz w:val="28"/>
          <w:szCs w:val="28"/>
        </w:rPr>
        <w:t xml:space="preserve"> de Direito Público Interno, com sede a Avenida Laudelino Peixoto, nº 871, Centro, neste município, inscrita no CNPJ sob o nº. 11.169.389/0001-</w:t>
      </w:r>
      <w:r w:rsidR="00921087">
        <w:rPr>
          <w:rFonts w:ascii="Arial Narrow" w:hAnsi="Arial Narrow"/>
          <w:sz w:val="28"/>
          <w:szCs w:val="28"/>
        </w:rPr>
        <w:t xml:space="preserve">10, </w:t>
      </w:r>
      <w:r w:rsidR="00921087">
        <w:rPr>
          <w:rFonts w:ascii="Arial Narrow" w:hAnsi="Arial Narrow" w:cs="Arial"/>
          <w:iCs/>
          <w:sz w:val="28"/>
          <w:szCs w:val="28"/>
        </w:rPr>
        <w:t xml:space="preserve">representado pelo </w:t>
      </w:r>
      <w:r w:rsidR="00921087" w:rsidRPr="005C6C15">
        <w:rPr>
          <w:rFonts w:ascii="Arial Narrow" w:hAnsi="Arial Narrow"/>
          <w:sz w:val="28"/>
          <w:szCs w:val="28"/>
        </w:rPr>
        <w:t>Secretário Municipal de Saúde</w:t>
      </w:r>
      <w:r w:rsidR="00921087">
        <w:rPr>
          <w:rFonts w:ascii="Arial Narrow" w:hAnsi="Arial Narrow"/>
          <w:sz w:val="28"/>
          <w:szCs w:val="28"/>
        </w:rPr>
        <w:t xml:space="preserve">, Sr. </w:t>
      </w:r>
      <w:r w:rsidR="00921087" w:rsidRPr="00FC184F">
        <w:rPr>
          <w:rFonts w:ascii="Arial Narrow" w:hAnsi="Arial Narrow"/>
          <w:b/>
          <w:sz w:val="28"/>
          <w:szCs w:val="28"/>
        </w:rPr>
        <w:t>Janssen Portela Galhardo</w:t>
      </w:r>
      <w:r w:rsidR="00921087">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sidR="00921087">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iCs/>
          <w:sz w:val="28"/>
          <w:szCs w:val="28"/>
        </w:rPr>
        <w:t xml:space="preserve"> </w:t>
      </w:r>
      <w:r>
        <w:rPr>
          <w:rFonts w:ascii="Arial Narrow" w:hAnsi="Arial Narrow" w:cs="Arial"/>
          <w:iCs/>
          <w:color w:val="000000"/>
          <w:sz w:val="28"/>
          <w:szCs w:val="28"/>
        </w:rPr>
        <w:t xml:space="preserve">e </w:t>
      </w:r>
      <w:r w:rsidR="00921087">
        <w:rPr>
          <w:rFonts w:ascii="Arial Narrow" w:hAnsi="Arial Narrow" w:cs="Arial"/>
          <w:iCs/>
          <w:color w:val="000000"/>
          <w:sz w:val="28"/>
          <w:szCs w:val="28"/>
        </w:rPr>
        <w:t xml:space="preserve">o </w:t>
      </w:r>
      <w:r w:rsidR="00C35899">
        <w:rPr>
          <w:rFonts w:ascii="Arial Narrow" w:hAnsi="Arial Narrow" w:cs="Arial"/>
          <w:iCs/>
          <w:color w:val="000000"/>
          <w:sz w:val="28"/>
          <w:szCs w:val="28"/>
        </w:rPr>
        <w:t>Sr</w:t>
      </w:r>
      <w:r w:rsidR="00921087">
        <w:rPr>
          <w:rFonts w:ascii="Arial Narrow" w:hAnsi="Arial Narrow" w:cs="Arial"/>
          <w:iCs/>
          <w:color w:val="000000"/>
          <w:sz w:val="28"/>
          <w:szCs w:val="28"/>
        </w:rPr>
        <w:t xml:space="preserve">. </w:t>
      </w:r>
      <w:r w:rsidR="00997DB1">
        <w:rPr>
          <w:rFonts w:ascii="Arial Narrow" w:hAnsi="Arial Narrow" w:cstheme="majorHAnsi"/>
          <w:b/>
          <w:bCs/>
          <w:iCs/>
          <w:color w:val="000000"/>
          <w:sz w:val="28"/>
          <w:szCs w:val="28"/>
        </w:rPr>
        <w:t>AGENOR FERNANDES NETO DOS SANTOS</w:t>
      </w:r>
      <w:r w:rsidR="00997DB1">
        <w:rPr>
          <w:rFonts w:ascii="Arial Narrow" w:hAnsi="Arial Narrow" w:cs="Arial"/>
          <w:iCs/>
          <w:color w:val="000000"/>
          <w:sz w:val="28"/>
          <w:szCs w:val="28"/>
        </w:rPr>
        <w:t xml:space="preserve">, </w:t>
      </w:r>
      <w:r>
        <w:rPr>
          <w:rFonts w:ascii="Arial Narrow" w:hAnsi="Arial Narrow" w:cs="Arial"/>
          <w:iCs/>
          <w:color w:val="000000"/>
          <w:sz w:val="28"/>
          <w:szCs w:val="28"/>
        </w:rPr>
        <w:t xml:space="preserve">pessoa </w:t>
      </w:r>
      <w:r w:rsidR="006F5E06">
        <w:rPr>
          <w:rFonts w:ascii="Arial Narrow" w:hAnsi="Arial Narrow" w:cs="Arial"/>
          <w:iCs/>
          <w:color w:val="000000"/>
          <w:sz w:val="28"/>
          <w:szCs w:val="28"/>
        </w:rPr>
        <w:t>física</w:t>
      </w:r>
      <w:r>
        <w:rPr>
          <w:rFonts w:ascii="Arial Narrow" w:hAnsi="Arial Narrow" w:cs="Arial"/>
          <w:iCs/>
          <w:color w:val="000000"/>
          <w:sz w:val="28"/>
          <w:szCs w:val="28"/>
        </w:rPr>
        <w:t xml:space="preserve"> de direito privado, inscrita no CNPJ</w:t>
      </w:r>
      <w:r w:rsidR="00997DB1">
        <w:rPr>
          <w:rFonts w:ascii="Arial Narrow" w:hAnsi="Arial Narrow" w:cs="Arial"/>
          <w:iCs/>
          <w:color w:val="000000"/>
          <w:sz w:val="28"/>
          <w:szCs w:val="28"/>
        </w:rPr>
        <w:t>/CPF</w:t>
      </w:r>
      <w:r>
        <w:rPr>
          <w:rFonts w:ascii="Arial Narrow" w:hAnsi="Arial Narrow" w:cs="Arial"/>
          <w:iCs/>
          <w:color w:val="000000"/>
          <w:sz w:val="28"/>
          <w:szCs w:val="28"/>
        </w:rPr>
        <w:t xml:space="preserve"> nº. </w:t>
      </w:r>
      <w:r w:rsidR="00997DB1" w:rsidRPr="00997DB1">
        <w:rPr>
          <w:rFonts w:ascii="Arial Narrow" w:hAnsi="Arial Narrow" w:cs="Arial"/>
          <w:iCs/>
          <w:color w:val="000000"/>
          <w:sz w:val="28"/>
          <w:szCs w:val="28"/>
        </w:rPr>
        <w:t xml:space="preserve">045.269.899-59 </w:t>
      </w:r>
      <w:r>
        <w:rPr>
          <w:rFonts w:ascii="Arial Narrow" w:hAnsi="Arial Narrow" w:cs="Arial"/>
          <w:iCs/>
          <w:color w:val="000000"/>
          <w:sz w:val="28"/>
          <w:szCs w:val="28"/>
        </w:rPr>
        <w:t xml:space="preserve">estabelecida à </w:t>
      </w:r>
      <w:r w:rsidR="00997DB1" w:rsidRPr="00997DB1">
        <w:rPr>
          <w:rFonts w:ascii="Arial Narrow" w:hAnsi="Arial Narrow" w:cs="Arial"/>
          <w:iCs/>
          <w:color w:val="000000"/>
          <w:sz w:val="28"/>
          <w:szCs w:val="28"/>
        </w:rPr>
        <w:t>RUA JOSÉ LUIZ MOREIRA, 328</w:t>
      </w:r>
      <w:r w:rsidR="00997DB1">
        <w:rPr>
          <w:rFonts w:ascii="Arial Narrow" w:hAnsi="Arial Narrow" w:cs="Arial"/>
          <w:iCs/>
          <w:color w:val="000000"/>
          <w:sz w:val="28"/>
          <w:szCs w:val="28"/>
        </w:rPr>
        <w:t xml:space="preserve">, </w:t>
      </w:r>
      <w:r w:rsidR="00997DB1" w:rsidRPr="00997DB1">
        <w:rPr>
          <w:rFonts w:ascii="Arial Narrow" w:hAnsi="Arial Narrow" w:cs="Arial"/>
          <w:iCs/>
          <w:color w:val="000000"/>
          <w:sz w:val="28"/>
          <w:szCs w:val="28"/>
        </w:rPr>
        <w:t>CENTRO</w:t>
      </w:r>
      <w:r w:rsidR="00997DB1">
        <w:rPr>
          <w:rFonts w:ascii="Arial Narrow" w:hAnsi="Arial Narrow" w:cs="Arial"/>
          <w:iCs/>
          <w:color w:val="000000"/>
          <w:sz w:val="28"/>
          <w:szCs w:val="28"/>
        </w:rPr>
        <w:t xml:space="preserve">, </w:t>
      </w:r>
      <w:r w:rsidR="00997DB1" w:rsidRPr="00997DB1">
        <w:rPr>
          <w:rFonts w:ascii="Arial Narrow" w:hAnsi="Arial Narrow" w:cs="Arial"/>
          <w:iCs/>
          <w:color w:val="000000"/>
          <w:sz w:val="28"/>
          <w:szCs w:val="28"/>
        </w:rPr>
        <w:t>IGUATEMI/MS</w:t>
      </w:r>
      <w:r w:rsidR="00997DB1">
        <w:rPr>
          <w:rFonts w:ascii="Arial Narrow" w:hAnsi="Arial Narrow" w:cs="Arial"/>
          <w:iCs/>
          <w:color w:val="000000"/>
          <w:sz w:val="28"/>
          <w:szCs w:val="28"/>
        </w:rPr>
        <w:t xml:space="preserve">, </w:t>
      </w:r>
      <w:r>
        <w:rPr>
          <w:rFonts w:ascii="Arial Narrow" w:hAnsi="Arial Narrow" w:cs="Arial"/>
          <w:iCs/>
          <w:color w:val="000000"/>
          <w:sz w:val="28"/>
          <w:szCs w:val="28"/>
        </w:rPr>
        <w:t xml:space="preserve">doravante denominada </w:t>
      </w:r>
      <w:r>
        <w:rPr>
          <w:rFonts w:ascii="Arial Narrow" w:hAnsi="Arial Narrow" w:cs="Arial"/>
          <w:b/>
          <w:bCs/>
          <w:iCs/>
          <w:color w:val="000000"/>
          <w:sz w:val="28"/>
          <w:szCs w:val="28"/>
        </w:rPr>
        <w:t>CONTRATADA</w:t>
      </w:r>
      <w:r>
        <w:rPr>
          <w:rFonts w:ascii="Arial Narrow" w:hAnsi="Arial Narrow" w:cs="Arial"/>
          <w:iCs/>
          <w:color w:val="000000"/>
          <w:sz w:val="28"/>
          <w:szCs w:val="28"/>
        </w:rPr>
        <w:t>.</w:t>
      </w: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lastRenderedPageBreak/>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8B3BA4" w:rsidRPr="006556CD" w14:paraId="288F4CA5" w14:textId="77777777" w:rsidTr="00921087">
        <w:trPr>
          <w:trHeight w:val="689"/>
        </w:trPr>
        <w:tc>
          <w:tcPr>
            <w:tcW w:w="4018" w:type="dxa"/>
            <w:vAlign w:val="center"/>
          </w:tcPr>
          <w:p w14:paraId="1EF40F40" w14:textId="77777777" w:rsidR="008B3BA4" w:rsidRPr="006556CD" w:rsidRDefault="008B3BA4" w:rsidP="0038504E">
            <w:pPr>
              <w:spacing w:line="276" w:lineRule="auto"/>
              <w:jc w:val="both"/>
              <w:rPr>
                <w:rFonts w:ascii="Courier New" w:hAnsi="Courier New" w:cs="Courier New"/>
                <w:bCs/>
              </w:rPr>
            </w:pPr>
            <w:r w:rsidRPr="006556CD">
              <w:rPr>
                <w:rFonts w:ascii="Courier New" w:hAnsi="Courier New" w:cs="Courier New"/>
              </w:rPr>
              <w:t xml:space="preserve">Plantão de Enfermeiros </w:t>
            </w:r>
            <w:proofErr w:type="spellStart"/>
            <w:r w:rsidRPr="006556CD">
              <w:rPr>
                <w:rFonts w:ascii="Courier New" w:hAnsi="Courier New" w:cs="Courier New"/>
              </w:rPr>
              <w:t>Emergencistas</w:t>
            </w:r>
            <w:proofErr w:type="spellEnd"/>
            <w:r w:rsidRPr="006556CD">
              <w:rPr>
                <w:rFonts w:ascii="Courier New" w:hAnsi="Courier New" w:cs="Courier New"/>
              </w:rPr>
              <w:t xml:space="preserve"> (portadores de diploma de especialista em urgência e emergência com experiência mínima de 24 meses em serviços de urgência e emergência)</w:t>
            </w:r>
          </w:p>
        </w:tc>
        <w:tc>
          <w:tcPr>
            <w:tcW w:w="2100" w:type="dxa"/>
            <w:vAlign w:val="center"/>
          </w:tcPr>
          <w:p w14:paraId="13F9D6FB" w14:textId="77777777" w:rsidR="008B3BA4" w:rsidRPr="006556CD" w:rsidRDefault="008B3BA4" w:rsidP="0038504E">
            <w:pPr>
              <w:spacing w:line="276" w:lineRule="auto"/>
              <w:jc w:val="center"/>
              <w:rPr>
                <w:rFonts w:ascii="Courier New" w:hAnsi="Courier New" w:cs="Courier New"/>
                <w:bCs/>
              </w:rPr>
            </w:pPr>
            <w:r>
              <w:rPr>
                <w:rFonts w:ascii="Courier New" w:hAnsi="Courier New" w:cs="Courier New"/>
              </w:rPr>
              <w:t>Plantão de 12 horas</w:t>
            </w:r>
          </w:p>
        </w:tc>
        <w:tc>
          <w:tcPr>
            <w:tcW w:w="2376" w:type="dxa"/>
            <w:vAlign w:val="center"/>
          </w:tcPr>
          <w:p w14:paraId="72B90EA8" w14:textId="77777777" w:rsidR="008B3BA4" w:rsidRPr="006556CD" w:rsidRDefault="008B3BA4" w:rsidP="0038504E">
            <w:pPr>
              <w:pStyle w:val="PargrafodaLista"/>
              <w:spacing w:line="312" w:lineRule="auto"/>
              <w:ind w:left="0"/>
              <w:jc w:val="center"/>
              <w:rPr>
                <w:rFonts w:ascii="Courier New" w:hAnsi="Courier New" w:cs="Courier New"/>
              </w:rPr>
            </w:pPr>
            <w:r w:rsidRPr="006556CD">
              <w:rPr>
                <w:rFonts w:ascii="Courier New" w:hAnsi="Courier New" w:cs="Courier New"/>
              </w:rPr>
              <w:t>R$ 300,00</w:t>
            </w:r>
          </w:p>
          <w:p w14:paraId="40743B11" w14:textId="77777777" w:rsidR="008B3BA4" w:rsidRPr="006556CD" w:rsidRDefault="008B3BA4" w:rsidP="0038504E">
            <w:pPr>
              <w:jc w:val="center"/>
              <w:rPr>
                <w:rFonts w:ascii="Courier New" w:hAnsi="Courier New" w:cs="Courier New"/>
              </w:rPr>
            </w:pPr>
          </w:p>
          <w:p w14:paraId="460AD4B7" w14:textId="77777777" w:rsidR="008B3BA4" w:rsidRPr="006556CD" w:rsidRDefault="008B3BA4" w:rsidP="0038504E">
            <w:pPr>
              <w:spacing w:line="276" w:lineRule="auto"/>
              <w:jc w:val="center"/>
              <w:rPr>
                <w:rFonts w:ascii="Courier New" w:hAnsi="Courier New" w:cs="Courier New"/>
                <w:bCs/>
              </w:rPr>
            </w:pP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2"/>
      </w:tblGrid>
      <w:tr w:rsidR="003B50E0" w:rsidRPr="00833EC2" w14:paraId="6B98CE76" w14:textId="77777777" w:rsidTr="00921087">
        <w:trPr>
          <w:trHeight w:val="1658"/>
        </w:trPr>
        <w:tc>
          <w:tcPr>
            <w:tcW w:w="8642" w:type="dxa"/>
            <w:shd w:val="clear" w:color="auto" w:fill="auto"/>
            <w:vAlign w:val="center"/>
            <w:hideMark/>
          </w:tcPr>
          <w:p w14:paraId="60E27B15" w14:textId="3A08A997" w:rsidR="003B50E0" w:rsidRPr="00833EC2" w:rsidRDefault="003B50E0" w:rsidP="0038504E">
            <w:pPr>
              <w:rPr>
                <w:rFonts w:ascii="Verdana" w:eastAsia="Times New Roman" w:hAnsi="Verdana" w:cs="Arial"/>
                <w:color w:val="000000"/>
                <w:sz w:val="20"/>
                <w:szCs w:val="20"/>
                <w:lang w:eastAsia="pt-BR"/>
              </w:rPr>
            </w:pPr>
            <w:r w:rsidRPr="00833EC2">
              <w:rPr>
                <w:rFonts w:ascii="Verdana" w:eastAsia="Times New Roman" w:hAnsi="Verdana" w:cs="Arial"/>
                <w:color w:val="000000"/>
                <w:sz w:val="20"/>
                <w:szCs w:val="20"/>
                <w:lang w:eastAsia="pt-BR"/>
              </w:rPr>
              <w:t>4  FUNDO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3.3.90.36.00  OUTROS SERVIÇOS DE TERCEIROS - PESSOA FÍSICA</w:t>
            </w:r>
            <w:r w:rsidRPr="00833EC2">
              <w:rPr>
                <w:rFonts w:ascii="Verdana" w:eastAsia="Times New Roman" w:hAnsi="Verdana" w:cs="Arial"/>
                <w:color w:val="000000"/>
                <w:sz w:val="20"/>
                <w:szCs w:val="20"/>
                <w:lang w:eastAsia="pt-BR"/>
              </w:rPr>
              <w:br/>
              <w:t>FONTE: 0.1.02-000     /     FICHA: 5</w:t>
            </w:r>
            <w:r>
              <w:rPr>
                <w:rFonts w:ascii="Verdana" w:eastAsia="Times New Roman" w:hAnsi="Verdana" w:cs="Arial"/>
                <w:color w:val="000000"/>
                <w:sz w:val="20"/>
                <w:szCs w:val="20"/>
                <w:lang w:eastAsia="pt-BR"/>
              </w:rPr>
              <w:t>35</w:t>
            </w:r>
          </w:p>
        </w:tc>
      </w:tr>
    </w:tbl>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lastRenderedPageBreak/>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43076F7D"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Pr>
          <w:rFonts w:ascii="Arial Narrow" w:hAnsi="Arial Narrow" w:cstheme="majorHAnsi"/>
          <w:bCs/>
          <w:iCs/>
          <w:sz w:val="28"/>
          <w:szCs w:val="28"/>
        </w:rPr>
        <w:t>19</w:t>
      </w:r>
      <w:r w:rsidRPr="0064230E">
        <w:rPr>
          <w:rFonts w:ascii="Arial Narrow" w:hAnsi="Arial Narrow" w:cstheme="majorHAnsi"/>
          <w:bCs/>
          <w:iCs/>
          <w:sz w:val="28"/>
          <w:szCs w:val="28"/>
        </w:rPr>
        <w:t xml:space="preserve"> de </w:t>
      </w:r>
      <w:r>
        <w:rPr>
          <w:rFonts w:ascii="Arial Narrow" w:hAnsi="Arial Narrow" w:cstheme="majorHAnsi"/>
          <w:bCs/>
          <w:iCs/>
          <w:sz w:val="28"/>
          <w:szCs w:val="28"/>
        </w:rPr>
        <w:t>Janeiro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77777777" w:rsidR="008B3BA4" w:rsidRPr="00B36267" w:rsidRDefault="008B3BA4"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02F02479" w14:textId="77777777" w:rsidR="00997DB1" w:rsidRDefault="00997DB1"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AGENOR FERNANDES NETO DOS SANTOS</w:t>
            </w:r>
            <w:r w:rsidRPr="00463AD4">
              <w:rPr>
                <w:rFonts w:ascii="Arial Narrow" w:hAnsi="Arial Narrow" w:cstheme="majorHAnsi"/>
                <w:b/>
                <w:bCs/>
                <w:sz w:val="28"/>
                <w:szCs w:val="28"/>
              </w:rPr>
              <w:t xml:space="preserve"> </w:t>
            </w:r>
          </w:p>
          <w:p w14:paraId="111228A2" w14:textId="6D020E6C" w:rsidR="008B3BA4" w:rsidRPr="00463AD4" w:rsidRDefault="008B3BA4" w:rsidP="0038504E">
            <w:pPr>
              <w:widowControl w:val="0"/>
              <w:jc w:val="center"/>
              <w:rPr>
                <w:rFonts w:ascii="Arial Narrow" w:hAnsi="Arial Narrow" w:cstheme="majorHAnsi"/>
                <w:b/>
                <w:bCs/>
                <w:sz w:val="28"/>
                <w:szCs w:val="28"/>
              </w:rPr>
            </w:pPr>
            <w:r w:rsidRPr="00463AD4">
              <w:rPr>
                <w:rFonts w:ascii="Arial Narrow" w:hAnsi="Arial Narrow" w:cstheme="majorHAnsi"/>
                <w:b/>
                <w:bCs/>
                <w:sz w:val="28"/>
                <w:szCs w:val="28"/>
              </w:rPr>
              <w:t>(</w:t>
            </w:r>
            <w:r w:rsidRPr="00463AD4">
              <w:rPr>
                <w:rFonts w:ascii="Arial Narrow" w:hAnsi="Arial Narrow" w:cstheme="majorHAnsi"/>
                <w:b/>
                <w:iCs/>
                <w:sz w:val="28"/>
                <w:szCs w:val="28"/>
              </w:rPr>
              <w:t>CREDENCIADO</w:t>
            </w:r>
            <w:r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666AC29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8B7F8E4" w14:textId="77777777" w:rsidR="00997DB1" w:rsidRDefault="00997DB1" w:rsidP="008B3BA4">
      <w:pPr>
        <w:widowControl w:val="0"/>
        <w:ind w:right="-618"/>
        <w:jc w:val="both"/>
        <w:rPr>
          <w:rFonts w:ascii="Arial Narrow" w:hAnsi="Arial Narrow" w:cstheme="majorHAnsi"/>
          <w:b/>
          <w:bCs/>
          <w:sz w:val="28"/>
          <w:szCs w:val="28"/>
        </w:rPr>
      </w:pPr>
    </w:p>
    <w:p w14:paraId="254F692D" w14:textId="77777777" w:rsidR="008B3BA4" w:rsidRPr="00463AD4" w:rsidRDefault="008B3BA4"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2D95C9C8" w:rsidR="008B3BA4" w:rsidRPr="00463AD4" w:rsidRDefault="00997DB1"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6F5E06"/>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0377A0"/>
    <w:rsid w:val="00217332"/>
    <w:rsid w:val="003B50E0"/>
    <w:rsid w:val="00541247"/>
    <w:rsid w:val="006F5E06"/>
    <w:rsid w:val="008B3BA4"/>
    <w:rsid w:val="00921087"/>
    <w:rsid w:val="00997DB1"/>
    <w:rsid w:val="00C07524"/>
    <w:rsid w:val="00C35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13780">
      <w:bodyDiv w:val="1"/>
      <w:marLeft w:val="0"/>
      <w:marRight w:val="0"/>
      <w:marTop w:val="0"/>
      <w:marBottom w:val="0"/>
      <w:divBdr>
        <w:top w:val="none" w:sz="0" w:space="0" w:color="auto"/>
        <w:left w:val="none" w:sz="0" w:space="0" w:color="auto"/>
        <w:bottom w:val="none" w:sz="0" w:space="0" w:color="auto"/>
        <w:right w:val="none" w:sz="0" w:space="0" w:color="auto"/>
      </w:divBdr>
    </w:div>
    <w:div w:id="464857653">
      <w:bodyDiv w:val="1"/>
      <w:marLeft w:val="0"/>
      <w:marRight w:val="0"/>
      <w:marTop w:val="0"/>
      <w:marBottom w:val="0"/>
      <w:divBdr>
        <w:top w:val="none" w:sz="0" w:space="0" w:color="auto"/>
        <w:left w:val="none" w:sz="0" w:space="0" w:color="auto"/>
        <w:bottom w:val="none" w:sz="0" w:space="0" w:color="auto"/>
        <w:right w:val="none" w:sz="0" w:space="0" w:color="auto"/>
      </w:divBdr>
    </w:div>
    <w:div w:id="19819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1921</Words>
  <Characters>10376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7</cp:revision>
  <dcterms:created xsi:type="dcterms:W3CDTF">2023-01-18T15:29:00Z</dcterms:created>
  <dcterms:modified xsi:type="dcterms:W3CDTF">2023-03-17T13:59:00Z</dcterms:modified>
</cp:coreProperties>
</file>