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EC" w:rsidRPr="007C51E2" w:rsidRDefault="004F6BEC" w:rsidP="003429C1">
      <w:pPr>
        <w:jc w:val="both"/>
        <w:rPr>
          <w:rFonts w:asciiTheme="majorHAnsi" w:hAnsiTheme="majorHAnsi" w:cs="Tahoma"/>
          <w:bCs/>
          <w:sz w:val="22"/>
          <w:szCs w:val="22"/>
          <w:lang w:eastAsia="pt-BR"/>
        </w:rPr>
      </w:pPr>
    </w:p>
    <w:p w:rsidR="00E257C1" w:rsidRPr="007C51E2" w:rsidRDefault="00E257C1" w:rsidP="00E257C1">
      <w:pPr>
        <w:jc w:val="both"/>
        <w:rPr>
          <w:rFonts w:asciiTheme="majorHAnsi" w:hAnsiTheme="majorHAnsi" w:cs="Tahoma"/>
          <w:bCs/>
          <w:sz w:val="22"/>
          <w:szCs w:val="22"/>
          <w:lang w:eastAsia="pt-BR"/>
        </w:rPr>
      </w:pPr>
    </w:p>
    <w:p w:rsidR="00E257C1" w:rsidRPr="00D12F80" w:rsidRDefault="00E257C1" w:rsidP="00E257C1">
      <w:pPr>
        <w:tabs>
          <w:tab w:val="left" w:pos="6345"/>
        </w:tabs>
        <w:jc w:val="center"/>
        <w:rPr>
          <w:rFonts w:asciiTheme="majorHAnsi" w:hAnsiTheme="majorHAnsi" w:cs="Tahoma"/>
          <w:b/>
          <w:iCs/>
          <w:sz w:val="36"/>
          <w:szCs w:val="36"/>
          <w:u w:val="single"/>
        </w:rPr>
      </w:pPr>
      <w:r w:rsidRPr="00D12F80">
        <w:rPr>
          <w:rFonts w:asciiTheme="majorHAnsi" w:hAnsiTheme="majorHAnsi" w:cs="Tahoma"/>
          <w:b/>
          <w:iCs/>
          <w:sz w:val="36"/>
          <w:szCs w:val="36"/>
          <w:u w:val="single"/>
        </w:rPr>
        <w:t>TERMO DE CONTRATO N.º 016/2020</w:t>
      </w:r>
    </w:p>
    <w:p w:rsidR="00E257C1" w:rsidRPr="007C51E2" w:rsidRDefault="00E257C1" w:rsidP="00E257C1">
      <w:pPr>
        <w:tabs>
          <w:tab w:val="left" w:pos="6345"/>
        </w:tabs>
        <w:jc w:val="center"/>
        <w:rPr>
          <w:rFonts w:asciiTheme="majorHAnsi" w:hAnsiTheme="majorHAnsi" w:cs="Tahoma"/>
          <w:b/>
          <w:iCs/>
          <w:sz w:val="22"/>
          <w:szCs w:val="22"/>
        </w:rPr>
      </w:pPr>
    </w:p>
    <w:p w:rsidR="00D12F80" w:rsidRDefault="00D12F80" w:rsidP="00E257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257C1" w:rsidRPr="007C51E2" w:rsidRDefault="00E257C1" w:rsidP="00D12F80">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Processo n.º</w:t>
      </w:r>
      <w:r>
        <w:rPr>
          <w:rFonts w:asciiTheme="majorHAnsi" w:hAnsiTheme="majorHAnsi" w:cs="Tahoma"/>
          <w:iCs/>
          <w:sz w:val="22"/>
          <w:szCs w:val="22"/>
        </w:rPr>
        <w:t xml:space="preserve"> 007/2020</w:t>
      </w:r>
    </w:p>
    <w:p w:rsidR="00E257C1" w:rsidRPr="007C51E2" w:rsidRDefault="00E257C1" w:rsidP="00E257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Pr>
          <w:rFonts w:asciiTheme="majorHAnsi" w:hAnsiTheme="majorHAnsi" w:cs="Tahoma"/>
          <w:iCs/>
          <w:sz w:val="22"/>
          <w:szCs w:val="22"/>
        </w:rPr>
        <w:t>004/2020</w:t>
      </w:r>
    </w:p>
    <w:p w:rsidR="00E257C1" w:rsidRPr="007C51E2" w:rsidRDefault="00E257C1" w:rsidP="00E257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257C1" w:rsidRPr="007C51E2" w:rsidRDefault="00E257C1" w:rsidP="00D12F80">
      <w:pPr>
        <w:ind w:right="-1"/>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INSTRUMENTO CO</w:t>
      </w:r>
      <w:r>
        <w:rPr>
          <w:rFonts w:asciiTheme="majorHAnsi" w:hAnsiTheme="majorHAnsi" w:cs="Tahoma"/>
          <w:b/>
          <w:iCs/>
          <w:snapToGrid w:val="0"/>
          <w:sz w:val="22"/>
          <w:szCs w:val="22"/>
          <w:lang w:eastAsia="pt-BR"/>
        </w:rPr>
        <w:t xml:space="preserve">NTRATUAL QUE CELEBRAM ENTRE SI A SECRETARIA MUNICIPAL DE EDUCAÇÃO DE JAPORÃ/MS E A </w:t>
      </w:r>
      <w:r w:rsidRPr="007A0C39">
        <w:rPr>
          <w:rFonts w:asciiTheme="majorHAnsi" w:hAnsiTheme="majorHAnsi" w:cs="Tahoma"/>
          <w:b/>
          <w:iCs/>
          <w:snapToGrid w:val="0"/>
          <w:sz w:val="22"/>
          <w:szCs w:val="22"/>
        </w:rPr>
        <w:t>EMPRESA</w:t>
      </w:r>
      <w:r>
        <w:rPr>
          <w:rFonts w:asciiTheme="majorHAnsi" w:hAnsiTheme="majorHAnsi" w:cs="Tahoma"/>
          <w:b/>
          <w:iCs/>
          <w:snapToGrid w:val="0"/>
          <w:sz w:val="22"/>
          <w:szCs w:val="22"/>
        </w:rPr>
        <w:t>:</w:t>
      </w:r>
      <w:r w:rsidRPr="007A0C39">
        <w:rPr>
          <w:rFonts w:asciiTheme="majorHAnsi" w:hAnsiTheme="majorHAnsi" w:cs="Tahoma"/>
          <w:b/>
          <w:iCs/>
          <w:snapToGrid w:val="0"/>
          <w:sz w:val="22"/>
          <w:szCs w:val="22"/>
        </w:rPr>
        <w:t xml:space="preserve"> </w:t>
      </w:r>
      <w:r>
        <w:rPr>
          <w:rFonts w:asciiTheme="majorHAnsi" w:hAnsiTheme="majorHAnsi" w:cs="Tahoma"/>
          <w:b/>
          <w:iCs/>
          <w:snapToGrid w:val="0"/>
          <w:sz w:val="22"/>
          <w:szCs w:val="22"/>
        </w:rPr>
        <w:t>ELAINE PEREIRA DA SILVA - MEI</w:t>
      </w:r>
      <w:r>
        <w:rPr>
          <w:rFonts w:asciiTheme="majorHAnsi" w:hAnsiTheme="majorHAnsi" w:cs="Tahoma"/>
          <w:b/>
          <w:iCs/>
          <w:snapToGrid w:val="0"/>
          <w:sz w:val="22"/>
          <w:szCs w:val="22"/>
          <w:lang w:eastAsia="pt-BR"/>
        </w:rPr>
        <w:t xml:space="preserve">. </w:t>
      </w:r>
    </w:p>
    <w:p w:rsidR="00E257C1" w:rsidRDefault="00E257C1" w:rsidP="00D12F80">
      <w:pPr>
        <w:ind w:right="-1"/>
        <w:jc w:val="both"/>
        <w:rPr>
          <w:rFonts w:asciiTheme="majorHAnsi" w:hAnsiTheme="majorHAnsi" w:cs="Tahoma"/>
          <w:iCs/>
          <w:sz w:val="22"/>
          <w:szCs w:val="22"/>
        </w:rPr>
      </w:pPr>
    </w:p>
    <w:p w:rsidR="00E257C1" w:rsidRPr="007C51E2" w:rsidRDefault="00E257C1" w:rsidP="00D12F80">
      <w:pPr>
        <w:ind w:right="-1"/>
        <w:jc w:val="both"/>
        <w:rPr>
          <w:rFonts w:asciiTheme="majorHAnsi" w:hAnsiTheme="majorHAnsi" w:cs="Tahoma"/>
          <w:iCs/>
          <w:sz w:val="22"/>
          <w:szCs w:val="22"/>
        </w:rPr>
      </w:pPr>
      <w:r w:rsidRPr="007C51E2">
        <w:rPr>
          <w:rFonts w:asciiTheme="majorHAnsi" w:hAnsiTheme="majorHAnsi" w:cs="Tahoma"/>
          <w:iCs/>
          <w:sz w:val="22"/>
          <w:szCs w:val="22"/>
        </w:rPr>
        <w:t xml:space="preserve">I - </w:t>
      </w:r>
      <w:r w:rsidRPr="007C51E2">
        <w:rPr>
          <w:rFonts w:asciiTheme="majorHAnsi" w:hAnsiTheme="majorHAnsi" w:cs="Tahoma"/>
          <w:iCs/>
          <w:sz w:val="22"/>
          <w:szCs w:val="22"/>
        </w:rPr>
        <w:tab/>
      </w:r>
      <w:r w:rsidRPr="007C51E2">
        <w:rPr>
          <w:rFonts w:asciiTheme="majorHAnsi" w:hAnsiTheme="majorHAnsi" w:cs="Tahoma"/>
          <w:b/>
          <w:iCs/>
          <w:sz w:val="22"/>
          <w:szCs w:val="22"/>
        </w:rPr>
        <w:t>CONTRATANTES</w:t>
      </w:r>
      <w:r>
        <w:rPr>
          <w:rFonts w:asciiTheme="majorHAnsi" w:hAnsiTheme="majorHAnsi" w:cs="Tahoma"/>
          <w:b/>
          <w:iCs/>
          <w:sz w:val="22"/>
          <w:szCs w:val="22"/>
        </w:rPr>
        <w:t>:</w:t>
      </w:r>
      <w:r w:rsidRPr="007A0C39">
        <w:rPr>
          <w:rFonts w:asciiTheme="majorHAnsi" w:hAnsiTheme="majorHAnsi" w:cs="Tahoma"/>
          <w:iCs/>
          <w:sz w:val="22"/>
          <w:szCs w:val="22"/>
        </w:rPr>
        <w:t xml:space="preserve"> </w:t>
      </w:r>
      <w:r w:rsidRPr="004A6AFA">
        <w:rPr>
          <w:rFonts w:ascii="Cambria" w:hAnsi="Cambria" w:cs="Tahoma"/>
          <w:b/>
          <w:iCs/>
          <w:snapToGrid w:val="0"/>
          <w:sz w:val="22"/>
          <w:szCs w:val="22"/>
        </w:rPr>
        <w:t xml:space="preserve">"SECRETARIA MUNICIPAL DE EDUCAÇÃO DE JAPORÃ/MS”, </w:t>
      </w:r>
      <w:r w:rsidRPr="004A6AFA">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sidRPr="007C51E2">
        <w:rPr>
          <w:rFonts w:asciiTheme="majorHAnsi" w:hAnsiTheme="majorHAnsi" w:cs="Tahoma"/>
          <w:iCs/>
          <w:sz w:val="22"/>
          <w:szCs w:val="22"/>
        </w:rPr>
        <w:t xml:space="preserve">/ e a empresa </w:t>
      </w:r>
      <w:r>
        <w:rPr>
          <w:rFonts w:asciiTheme="majorHAnsi" w:hAnsiTheme="majorHAnsi" w:cs="Tahoma"/>
          <w:b/>
          <w:iCs/>
          <w:snapToGrid w:val="0"/>
          <w:sz w:val="22"/>
          <w:szCs w:val="22"/>
        </w:rPr>
        <w:t>ELAINE PEREIRA DA SILVA - MEI</w:t>
      </w:r>
      <w:r w:rsidRPr="007A0C39">
        <w:rPr>
          <w:rFonts w:asciiTheme="majorHAnsi" w:hAnsiTheme="majorHAnsi" w:cs="Tahoma"/>
          <w:iCs/>
          <w:sz w:val="22"/>
          <w:szCs w:val="22"/>
        </w:rPr>
        <w:t>, Pessoa Jurídica de D</w:t>
      </w:r>
      <w:r>
        <w:rPr>
          <w:rFonts w:asciiTheme="majorHAnsi" w:hAnsiTheme="majorHAnsi" w:cs="Tahoma"/>
          <w:iCs/>
          <w:sz w:val="22"/>
          <w:szCs w:val="22"/>
        </w:rPr>
        <w:t>ireito Privado, estabelecida na Rua Três, Lote 4, Distrito de Jacareí, município de</w:t>
      </w:r>
      <w:r w:rsidRPr="007A0C39">
        <w:rPr>
          <w:rFonts w:asciiTheme="majorHAnsi" w:hAnsiTheme="majorHAnsi" w:cs="Tahoma"/>
          <w:iCs/>
          <w:sz w:val="22"/>
          <w:szCs w:val="22"/>
        </w:rPr>
        <w:t xml:space="preserve"> Japorã/MS, inscrita no CNPJ/MF nº </w:t>
      </w:r>
      <w:r>
        <w:rPr>
          <w:rFonts w:asciiTheme="majorHAnsi" w:hAnsiTheme="majorHAnsi" w:cs="Tahoma"/>
          <w:iCs/>
          <w:sz w:val="22"/>
          <w:szCs w:val="22"/>
        </w:rPr>
        <w:t>30.343,860/0001-99</w:t>
      </w:r>
      <w:r w:rsidRPr="007A0C39">
        <w:rPr>
          <w:rFonts w:asciiTheme="majorHAnsi" w:hAnsiTheme="majorHAnsi" w:cs="Tahoma"/>
          <w:iCs/>
          <w:sz w:val="22"/>
          <w:szCs w:val="22"/>
        </w:rPr>
        <w:t xml:space="preserve">, </w:t>
      </w:r>
      <w:r>
        <w:rPr>
          <w:rFonts w:asciiTheme="majorHAnsi" w:hAnsiTheme="majorHAnsi" w:cs="Tahoma"/>
          <w:iCs/>
          <w:sz w:val="22"/>
          <w:szCs w:val="22"/>
        </w:rPr>
        <w:t>doravante denominada CONTRATADA</w:t>
      </w:r>
      <w:r w:rsidRPr="007C51E2">
        <w:rPr>
          <w:rFonts w:asciiTheme="majorHAnsi" w:hAnsiTheme="majorHAnsi" w:cs="Tahoma"/>
          <w:iCs/>
          <w:sz w:val="22"/>
          <w:szCs w:val="22"/>
        </w:rPr>
        <w:t>.</w:t>
      </w:r>
    </w:p>
    <w:p w:rsidR="00E257C1" w:rsidRPr="00BC2BD9" w:rsidRDefault="00E257C1" w:rsidP="00D12F80">
      <w:pPr>
        <w:ind w:right="-1"/>
        <w:jc w:val="both"/>
        <w:rPr>
          <w:rFonts w:asciiTheme="majorHAnsi" w:hAnsiTheme="majorHAnsi" w:cs="Tahoma"/>
          <w:iCs/>
          <w:sz w:val="22"/>
          <w:szCs w:val="22"/>
        </w:rPr>
      </w:pPr>
    </w:p>
    <w:p w:rsidR="00E257C1" w:rsidRPr="00BC2BD9" w:rsidRDefault="00E257C1" w:rsidP="00D12F80">
      <w:pPr>
        <w:widowControl w:val="0"/>
        <w:overflowPunct w:val="0"/>
        <w:autoSpaceDE w:val="0"/>
        <w:autoSpaceDN w:val="0"/>
        <w:adjustRightInd w:val="0"/>
        <w:ind w:right="-1"/>
        <w:jc w:val="both"/>
        <w:textAlignment w:val="baseline"/>
        <w:rPr>
          <w:rFonts w:asciiTheme="majorHAnsi" w:hAnsiTheme="majorHAnsi" w:cs="Tahoma"/>
          <w:iCs/>
          <w:color w:val="FF0000"/>
          <w:sz w:val="22"/>
          <w:szCs w:val="22"/>
        </w:rPr>
      </w:pPr>
    </w:p>
    <w:p w:rsidR="00E257C1" w:rsidRPr="00490683" w:rsidRDefault="00E257C1"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490683">
        <w:rPr>
          <w:rFonts w:asciiTheme="majorHAnsi" w:hAnsiTheme="majorHAnsi" w:cs="Tahoma"/>
          <w:iCs/>
          <w:sz w:val="22"/>
          <w:szCs w:val="22"/>
        </w:rPr>
        <w:t>II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w:t>
      </w:r>
      <w:r w:rsidRPr="005035D1">
        <w:rPr>
          <w:rFonts w:asciiTheme="majorHAnsi" w:hAnsiTheme="majorHAnsi" w:cs="Tahoma"/>
          <w:iCs/>
          <w:sz w:val="22"/>
          <w:szCs w:val="22"/>
        </w:rPr>
        <w:t xml:space="preserve">Representa a CONTRATANTE o Senhor Secretário Municipal de Educação </w:t>
      </w:r>
      <w:r w:rsidRPr="005035D1">
        <w:rPr>
          <w:rFonts w:asciiTheme="majorHAnsi" w:hAnsiTheme="majorHAnsi" w:cs="Tahoma"/>
          <w:b/>
          <w:iCs/>
          <w:sz w:val="22"/>
          <w:szCs w:val="22"/>
        </w:rPr>
        <w:t>NIVALDO DIAS LIMA</w:t>
      </w:r>
      <w:r w:rsidRPr="005035D1">
        <w:rPr>
          <w:rFonts w:asciiTheme="majorHAnsi" w:hAnsiTheme="majorHAnsi" w:cs="Tahoma"/>
          <w:iCs/>
          <w:sz w:val="22"/>
          <w:szCs w:val="22"/>
        </w:rPr>
        <w:t xml:space="preserve">, brasileiro, professor, portador da cédula de identidade nº 552652 SSP/MS, inscrito no CPF. </w:t>
      </w:r>
      <w:proofErr w:type="gramStart"/>
      <w:r w:rsidRPr="005035D1">
        <w:rPr>
          <w:rFonts w:asciiTheme="majorHAnsi" w:hAnsiTheme="majorHAnsi" w:cs="Tahoma"/>
          <w:iCs/>
          <w:sz w:val="22"/>
          <w:szCs w:val="22"/>
        </w:rPr>
        <w:t>sob</w:t>
      </w:r>
      <w:proofErr w:type="gramEnd"/>
      <w:r w:rsidRPr="005035D1">
        <w:rPr>
          <w:rFonts w:asciiTheme="majorHAnsi" w:hAnsiTheme="majorHAnsi" w:cs="Tahoma"/>
          <w:iCs/>
          <w:sz w:val="22"/>
          <w:szCs w:val="22"/>
        </w:rPr>
        <w:t xml:space="preserve"> nº 475.233.441-00, residente e domiciliado no município de Japorã/MS e de outro lado o representando a empresa CONTRATADA</w:t>
      </w:r>
      <w:r>
        <w:rPr>
          <w:rFonts w:asciiTheme="majorHAnsi" w:hAnsiTheme="majorHAnsi" w:cs="Tahoma"/>
          <w:iCs/>
          <w:sz w:val="22"/>
          <w:szCs w:val="22"/>
        </w:rPr>
        <w:t xml:space="preserve"> </w:t>
      </w:r>
      <w:r w:rsidRPr="00490683">
        <w:rPr>
          <w:rFonts w:asciiTheme="majorHAnsi" w:hAnsiTheme="majorHAnsi"/>
          <w:sz w:val="22"/>
          <w:szCs w:val="22"/>
        </w:rPr>
        <w:t xml:space="preserve">neste ato </w:t>
      </w:r>
      <w:r>
        <w:rPr>
          <w:rFonts w:asciiTheme="majorHAnsi" w:hAnsiTheme="majorHAnsi"/>
          <w:sz w:val="22"/>
          <w:szCs w:val="22"/>
        </w:rPr>
        <w:t>a</w:t>
      </w:r>
      <w:r w:rsidRPr="007A0C39">
        <w:rPr>
          <w:rFonts w:asciiTheme="majorHAnsi" w:hAnsiTheme="majorHAnsi"/>
          <w:sz w:val="22"/>
          <w:szCs w:val="22"/>
        </w:rPr>
        <w:t xml:space="preserve"> Senhor</w:t>
      </w:r>
      <w:r>
        <w:rPr>
          <w:rFonts w:asciiTheme="majorHAnsi" w:hAnsiTheme="majorHAnsi"/>
          <w:sz w:val="22"/>
          <w:szCs w:val="22"/>
        </w:rPr>
        <w:t>a</w:t>
      </w:r>
      <w:r w:rsidRPr="007A0C39">
        <w:rPr>
          <w:rFonts w:asciiTheme="majorHAnsi" w:hAnsiTheme="majorHAnsi"/>
          <w:sz w:val="22"/>
          <w:szCs w:val="22"/>
        </w:rPr>
        <w:t xml:space="preserve"> </w:t>
      </w:r>
      <w:r>
        <w:rPr>
          <w:rFonts w:asciiTheme="majorHAnsi" w:hAnsiTheme="majorHAnsi"/>
          <w:b/>
          <w:sz w:val="22"/>
          <w:szCs w:val="22"/>
        </w:rPr>
        <w:t>ELAINE PEREIRA DA SILVA</w:t>
      </w:r>
      <w:r>
        <w:rPr>
          <w:rFonts w:asciiTheme="majorHAnsi" w:hAnsiTheme="majorHAnsi"/>
          <w:sz w:val="22"/>
          <w:szCs w:val="22"/>
        </w:rPr>
        <w:t>,</w:t>
      </w:r>
      <w:r w:rsidR="004D62D7">
        <w:rPr>
          <w:rFonts w:asciiTheme="majorHAnsi" w:hAnsiTheme="majorHAnsi"/>
          <w:sz w:val="22"/>
          <w:szCs w:val="22"/>
        </w:rPr>
        <w:t xml:space="preserve"> brasileira, casada, </w:t>
      </w:r>
      <w:bookmarkStart w:id="0" w:name="_GoBack"/>
      <w:bookmarkEnd w:id="0"/>
      <w:r w:rsidRPr="007A0C39">
        <w:rPr>
          <w:rFonts w:asciiTheme="majorHAnsi" w:hAnsiTheme="majorHAnsi"/>
          <w:sz w:val="22"/>
          <w:szCs w:val="22"/>
        </w:rPr>
        <w:t xml:space="preserve">portador da cédula de identidade n.º </w:t>
      </w:r>
      <w:r>
        <w:rPr>
          <w:rFonts w:asciiTheme="majorHAnsi" w:hAnsiTheme="majorHAnsi"/>
          <w:sz w:val="22"/>
          <w:szCs w:val="22"/>
        </w:rPr>
        <w:t xml:space="preserve">001.633.490 </w:t>
      </w:r>
      <w:r w:rsidRPr="007A0C39">
        <w:rPr>
          <w:rFonts w:asciiTheme="majorHAnsi" w:hAnsiTheme="majorHAnsi"/>
          <w:sz w:val="22"/>
          <w:szCs w:val="22"/>
        </w:rPr>
        <w:t>e inscrit</w:t>
      </w:r>
      <w:r>
        <w:rPr>
          <w:rFonts w:asciiTheme="majorHAnsi" w:hAnsiTheme="majorHAnsi"/>
          <w:sz w:val="22"/>
          <w:szCs w:val="22"/>
        </w:rPr>
        <w:t>o</w:t>
      </w:r>
      <w:r w:rsidRPr="007A0C39">
        <w:rPr>
          <w:rFonts w:asciiTheme="majorHAnsi" w:hAnsiTheme="majorHAnsi"/>
          <w:sz w:val="22"/>
          <w:szCs w:val="22"/>
        </w:rPr>
        <w:t xml:space="preserve"> no CPF sob n.º </w:t>
      </w:r>
      <w:r>
        <w:rPr>
          <w:rFonts w:asciiTheme="majorHAnsi" w:hAnsiTheme="majorHAnsi"/>
          <w:sz w:val="22"/>
          <w:szCs w:val="22"/>
        </w:rPr>
        <w:t>028.150.611-63</w:t>
      </w:r>
      <w:r w:rsidRPr="007A0C39">
        <w:rPr>
          <w:rFonts w:asciiTheme="majorHAnsi" w:hAnsiTheme="majorHAnsi"/>
          <w:sz w:val="22"/>
          <w:szCs w:val="22"/>
        </w:rPr>
        <w:t>, residente e domiciliado</w:t>
      </w:r>
      <w:r>
        <w:rPr>
          <w:rFonts w:asciiTheme="majorHAnsi" w:hAnsiTheme="majorHAnsi"/>
          <w:sz w:val="22"/>
          <w:szCs w:val="22"/>
        </w:rPr>
        <w:t xml:space="preserve"> </w:t>
      </w:r>
      <w:r>
        <w:rPr>
          <w:rFonts w:asciiTheme="majorHAnsi" w:hAnsiTheme="majorHAnsi" w:cs="Tahoma"/>
          <w:iCs/>
          <w:sz w:val="22"/>
          <w:szCs w:val="22"/>
        </w:rPr>
        <w:t>na Rua Três, Lote 4, Distrito de Jacareí, município de</w:t>
      </w:r>
      <w:r w:rsidRPr="007A0C39">
        <w:rPr>
          <w:rFonts w:asciiTheme="majorHAnsi" w:hAnsiTheme="majorHAnsi" w:cs="Tahoma"/>
          <w:iCs/>
          <w:sz w:val="22"/>
          <w:szCs w:val="22"/>
        </w:rPr>
        <w:t xml:space="preserve"> Japorã/MS</w:t>
      </w:r>
      <w:r w:rsidRPr="007A0C39">
        <w:rPr>
          <w:rFonts w:asciiTheme="majorHAnsi" w:hAnsiTheme="majorHAnsi"/>
          <w:sz w:val="22"/>
          <w:szCs w:val="22"/>
        </w:rPr>
        <w:t>.</w:t>
      </w:r>
    </w:p>
    <w:p w:rsidR="00E371A9" w:rsidRPr="00490683" w:rsidRDefault="00E371A9"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D12F80">
      <w:pPr>
        <w:ind w:right="-1"/>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D12F80">
      <w:pPr>
        <w:ind w:right="-1"/>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D12F80">
      <w:pPr>
        <w:ind w:right="-1"/>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E924EA" w:rsidRPr="007C51E2" w:rsidRDefault="00E924E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Default="003419FA" w:rsidP="00D12F80">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D12F80">
      <w:pPr>
        <w:widowControl w:val="0"/>
        <w:overflowPunct w:val="0"/>
        <w:autoSpaceDE w:val="0"/>
        <w:autoSpaceDN w:val="0"/>
        <w:adjustRightInd w:val="0"/>
        <w:ind w:right="-1"/>
        <w:jc w:val="both"/>
        <w:textAlignment w:val="baseline"/>
        <w:rPr>
          <w:rFonts w:asciiTheme="majorHAnsi" w:hAnsiTheme="majorHAnsi" w:cs="Tahoma"/>
          <w:b/>
          <w:iCs/>
          <w:sz w:val="22"/>
          <w:szCs w:val="22"/>
        </w:rPr>
      </w:pPr>
    </w:p>
    <w:p w:rsidR="00E924EA" w:rsidRPr="007C51E2" w:rsidRDefault="001C1CA7" w:rsidP="00D12F80">
      <w:pPr>
        <w:pStyle w:val="PargrafodaLista"/>
        <w:widowControl w:val="0"/>
        <w:tabs>
          <w:tab w:val="left" w:pos="0"/>
          <w:tab w:val="left" w:pos="426"/>
        </w:tabs>
        <w:autoSpaceDE w:val="0"/>
        <w:autoSpaceDN w:val="0"/>
        <w:ind w:left="0" w:right="-1"/>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D12F80">
      <w:pPr>
        <w:tabs>
          <w:tab w:val="left" w:pos="426"/>
        </w:tabs>
        <w:ind w:right="-1"/>
        <w:jc w:val="both"/>
        <w:rPr>
          <w:rFonts w:asciiTheme="majorHAnsi" w:eastAsia="Helvetica" w:hAnsiTheme="majorHAnsi" w:cs="Tahoma"/>
          <w:sz w:val="22"/>
          <w:szCs w:val="22"/>
        </w:rPr>
      </w:pPr>
    </w:p>
    <w:p w:rsidR="003419FA" w:rsidRPr="007C51E2" w:rsidRDefault="003419FA"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D12F80">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D12F80">
      <w:pPr>
        <w:overflowPunct w:val="0"/>
        <w:autoSpaceDE w:val="0"/>
        <w:autoSpaceDN w:val="0"/>
        <w:adjustRightInd w:val="0"/>
        <w:ind w:right="-1"/>
        <w:jc w:val="both"/>
        <w:textAlignment w:val="baseline"/>
        <w:rPr>
          <w:rFonts w:asciiTheme="majorHAnsi" w:hAnsiTheme="majorHAnsi" w:cs="Tahoma"/>
          <w:b/>
          <w:bCs/>
          <w:iCs/>
          <w:sz w:val="22"/>
          <w:szCs w:val="22"/>
        </w:rPr>
      </w:pPr>
    </w:p>
    <w:p w:rsidR="00C53D6C" w:rsidRPr="007C51E2" w:rsidRDefault="004C2EC8" w:rsidP="00D12F80">
      <w:pPr>
        <w:overflowPunct w:val="0"/>
        <w:autoSpaceDE w:val="0"/>
        <w:autoSpaceDN w:val="0"/>
        <w:adjustRightInd w:val="0"/>
        <w:ind w:right="-1"/>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A80D5A" w:rsidRDefault="00A80D5A" w:rsidP="00D12F80">
      <w:pPr>
        <w:overflowPunct w:val="0"/>
        <w:autoSpaceDE w:val="0"/>
        <w:autoSpaceDN w:val="0"/>
        <w:adjustRightInd w:val="0"/>
        <w:ind w:right="-1"/>
        <w:jc w:val="both"/>
        <w:textAlignment w:val="baseline"/>
        <w:rPr>
          <w:rFonts w:asciiTheme="majorHAnsi" w:hAnsiTheme="majorHAnsi" w:cs="Tahoma"/>
          <w:b/>
          <w:bCs/>
          <w:sz w:val="22"/>
          <w:szCs w:val="22"/>
        </w:rPr>
      </w:pPr>
    </w:p>
    <w:p w:rsidR="00A80D5A" w:rsidRDefault="00A80D5A" w:rsidP="00D12F80">
      <w:pPr>
        <w:overflowPunct w:val="0"/>
        <w:autoSpaceDE w:val="0"/>
        <w:autoSpaceDN w:val="0"/>
        <w:adjustRightInd w:val="0"/>
        <w:ind w:right="-1"/>
        <w:jc w:val="both"/>
        <w:textAlignment w:val="baseline"/>
        <w:rPr>
          <w:rFonts w:asciiTheme="majorHAnsi" w:hAnsiTheme="majorHAnsi" w:cs="Tahoma"/>
          <w:b/>
          <w:bCs/>
          <w:sz w:val="22"/>
          <w:szCs w:val="22"/>
        </w:rPr>
      </w:pP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C53D6C" w:rsidP="00D12F80">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D12F80">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D12F80">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D12F80">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D12F80">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D12F80">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E924EA"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D12F80">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color w:val="FF0000"/>
          <w:sz w:val="22"/>
          <w:szCs w:val="22"/>
        </w:rPr>
      </w:pPr>
    </w:p>
    <w:p w:rsidR="00C53D6C" w:rsidRPr="007C51E2" w:rsidRDefault="004C2EC8"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p>
    <w:p w:rsidR="00C53D6C" w:rsidRPr="007C51E2" w:rsidRDefault="00C53D6C" w:rsidP="00D12F80">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D12F80">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D12F80">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D12F80">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D12F80">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A80D5A" w:rsidRPr="007C51E2" w:rsidRDefault="00A80D5A"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D12F80">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D12F80">
      <w:pPr>
        <w:overflowPunct w:val="0"/>
        <w:autoSpaceDE w:val="0"/>
        <w:autoSpaceDN w:val="0"/>
        <w:adjustRightInd w:val="0"/>
        <w:ind w:right="-1"/>
        <w:jc w:val="both"/>
        <w:textAlignment w:val="baseline"/>
        <w:rPr>
          <w:rFonts w:asciiTheme="majorHAnsi" w:hAnsiTheme="majorHAnsi" w:cs="Tahoma"/>
          <w:iCs/>
          <w:sz w:val="22"/>
          <w:szCs w:val="22"/>
        </w:rPr>
      </w:pPr>
    </w:p>
    <w:p w:rsidR="008F6A06" w:rsidRPr="007C51E2" w:rsidRDefault="008F6A06" w:rsidP="00D12F80">
      <w:pPr>
        <w:ind w:right="-1"/>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D12F80">
      <w:pPr>
        <w:ind w:right="-1"/>
        <w:jc w:val="both"/>
        <w:rPr>
          <w:rFonts w:asciiTheme="majorHAnsi" w:hAnsiTheme="majorHAnsi" w:cs="Tahoma"/>
          <w:iCs/>
          <w:sz w:val="22"/>
          <w:szCs w:val="22"/>
        </w:rPr>
      </w:pPr>
    </w:p>
    <w:p w:rsidR="008F6A06" w:rsidRPr="007C51E2" w:rsidRDefault="008F6A06" w:rsidP="00D12F80">
      <w:pPr>
        <w:ind w:right="-1"/>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Default="008F6A06" w:rsidP="00D12F80">
      <w:pPr>
        <w:ind w:right="-1"/>
        <w:jc w:val="both"/>
        <w:rPr>
          <w:rFonts w:asciiTheme="majorHAnsi" w:hAnsiTheme="majorHAnsi" w:cs="Tahoma"/>
          <w:iCs/>
          <w:sz w:val="22"/>
          <w:szCs w:val="22"/>
        </w:rPr>
      </w:pPr>
    </w:p>
    <w:p w:rsidR="008F6A06" w:rsidRPr="007C51E2" w:rsidRDefault="001C195E" w:rsidP="00D12F80">
      <w:pPr>
        <w:pStyle w:val="PargrafodaLista"/>
        <w:overflowPunct w:val="0"/>
        <w:autoSpaceDE w:val="0"/>
        <w:autoSpaceDN w:val="0"/>
        <w:adjustRightInd w:val="0"/>
        <w:ind w:left="0"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0C75B5">
      <w:pPr>
        <w:overflowPunct w:val="0"/>
        <w:autoSpaceDE w:val="0"/>
        <w:autoSpaceDN w:val="0"/>
        <w:adjustRightInd w:val="0"/>
        <w:ind w:right="567"/>
        <w:jc w:val="both"/>
        <w:textAlignment w:val="baseline"/>
        <w:rPr>
          <w:rFonts w:asciiTheme="majorHAnsi" w:hAnsiTheme="majorHAnsi" w:cs="Tahoma"/>
          <w:bCs/>
          <w:sz w:val="22"/>
          <w:szCs w:val="22"/>
        </w:rPr>
      </w:pPr>
    </w:p>
    <w:p w:rsidR="00F751DD" w:rsidRPr="007C51E2" w:rsidRDefault="00F751DD" w:rsidP="00D12F80">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D12F80">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lastRenderedPageBreak/>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D12F80">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D12F80">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D12F80">
      <w:pPr>
        <w:numPr>
          <w:ilvl w:val="0"/>
          <w:numId w:val="8"/>
        </w:numPr>
        <w:overflowPunct w:val="0"/>
        <w:autoSpaceDE w:val="0"/>
        <w:autoSpaceDN w:val="0"/>
        <w:adjustRightInd w:val="0"/>
        <w:ind w:left="0" w:right="-1"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Default="00DB501B" w:rsidP="00D12F80">
      <w:pPr>
        <w:overflowPunct w:val="0"/>
        <w:autoSpaceDE w:val="0"/>
        <w:autoSpaceDN w:val="0"/>
        <w:adjustRightInd w:val="0"/>
        <w:ind w:right="-1"/>
        <w:jc w:val="both"/>
        <w:textAlignment w:val="baseline"/>
        <w:rPr>
          <w:rFonts w:asciiTheme="majorHAnsi" w:hAnsiTheme="majorHAnsi" w:cs="Tahoma"/>
          <w:iCs/>
          <w:sz w:val="22"/>
          <w:szCs w:val="22"/>
        </w:rPr>
      </w:pPr>
    </w:p>
    <w:p w:rsidR="00A80D5A" w:rsidRPr="007C51E2" w:rsidRDefault="00A80D5A" w:rsidP="00D12F80">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D12F80">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E257C1" w:rsidRPr="007C51E2" w:rsidRDefault="00E257C1" w:rsidP="00D12F80">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Pr>
          <w:rFonts w:asciiTheme="majorHAnsi" w:hAnsiTheme="majorHAnsi" w:cs="Tahoma"/>
          <w:iCs/>
          <w:sz w:val="22"/>
          <w:szCs w:val="22"/>
        </w:rPr>
        <w:t xml:space="preserve">ontratado é de </w:t>
      </w:r>
      <w:r w:rsidRPr="002A6572">
        <w:rPr>
          <w:rFonts w:asciiTheme="majorHAnsi" w:hAnsiTheme="majorHAnsi" w:cs="Tahoma"/>
          <w:b/>
          <w:iCs/>
          <w:sz w:val="22"/>
          <w:szCs w:val="22"/>
        </w:rPr>
        <w:t xml:space="preserve">R$ </w:t>
      </w:r>
      <w:r>
        <w:rPr>
          <w:rFonts w:asciiTheme="majorHAnsi" w:hAnsiTheme="majorHAnsi" w:cs="Tahoma"/>
          <w:b/>
          <w:iCs/>
          <w:sz w:val="22"/>
          <w:szCs w:val="22"/>
        </w:rPr>
        <w:t>20.049,00</w:t>
      </w:r>
      <w:r w:rsidRPr="002A6572">
        <w:rPr>
          <w:rFonts w:asciiTheme="majorHAnsi" w:hAnsiTheme="majorHAnsi" w:cs="Tahoma"/>
          <w:b/>
          <w:iCs/>
          <w:sz w:val="22"/>
          <w:szCs w:val="22"/>
        </w:rPr>
        <w:t xml:space="preserve"> (</w:t>
      </w:r>
      <w:r w:rsidRPr="00864107">
        <w:rPr>
          <w:rFonts w:asciiTheme="majorHAnsi" w:hAnsiTheme="majorHAnsi" w:cs="Tahoma"/>
          <w:b/>
          <w:iCs/>
          <w:sz w:val="22"/>
          <w:szCs w:val="22"/>
        </w:rPr>
        <w:t>vinte mil e quarenta e nove reais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Pr>
          <w:rFonts w:asciiTheme="majorHAnsi" w:hAnsiTheme="majorHAnsi" w:cs="Tahoma"/>
          <w:iCs/>
          <w:sz w:val="22"/>
          <w:szCs w:val="22"/>
        </w:rPr>
        <w:t xml:space="preserve">a serem pagos </w:t>
      </w:r>
      <w:r w:rsidRPr="007C51E2">
        <w:rPr>
          <w:rFonts w:asciiTheme="majorHAnsi" w:hAnsiTheme="majorHAnsi" w:cs="Tahoma"/>
          <w:iCs/>
          <w:sz w:val="22"/>
          <w:szCs w:val="22"/>
        </w:rPr>
        <w:t>mensalmente, de acordo com os quilômetros rodados por linha, obedecendo os seguintes valores:</w:t>
      </w:r>
    </w:p>
    <w:p w:rsidR="00E257C1" w:rsidRDefault="00E257C1" w:rsidP="00E257C1">
      <w:pPr>
        <w:widowControl w:val="0"/>
        <w:overflowPunct w:val="0"/>
        <w:autoSpaceDE w:val="0"/>
        <w:autoSpaceDN w:val="0"/>
        <w:adjustRightInd w:val="0"/>
        <w:jc w:val="both"/>
        <w:textAlignment w:val="baseline"/>
        <w:rPr>
          <w:rFonts w:asciiTheme="majorHAnsi" w:hAnsiTheme="majorHAnsi" w:cs="Tahoma"/>
          <w:iCs/>
          <w:sz w:val="22"/>
          <w:szCs w:val="22"/>
        </w:rPr>
      </w:pPr>
    </w:p>
    <w:p w:rsidR="00E257C1" w:rsidRDefault="00E257C1" w:rsidP="00E257C1">
      <w:pPr>
        <w:widowControl w:val="0"/>
        <w:overflowPunct w:val="0"/>
        <w:autoSpaceDE w:val="0"/>
        <w:autoSpaceDN w:val="0"/>
        <w:adjustRightInd w:val="0"/>
        <w:jc w:val="both"/>
        <w:textAlignment w:val="baseline"/>
        <w:rPr>
          <w:rFonts w:asciiTheme="majorHAnsi" w:hAnsiTheme="majorHAnsi" w:cs="Tahoma"/>
          <w:iCs/>
          <w:sz w:val="22"/>
          <w:szCs w:val="22"/>
        </w:rPr>
      </w:pPr>
    </w:p>
    <w:tbl>
      <w:tblPr>
        <w:tblW w:w="10070" w:type="dxa"/>
        <w:tblLayout w:type="fixed"/>
        <w:tblCellMar>
          <w:left w:w="10" w:type="dxa"/>
          <w:right w:w="10" w:type="dxa"/>
        </w:tblCellMar>
        <w:tblLook w:val="04A0" w:firstRow="1" w:lastRow="0" w:firstColumn="1" w:lastColumn="0" w:noHBand="0" w:noVBand="1"/>
      </w:tblPr>
      <w:tblGrid>
        <w:gridCol w:w="360"/>
        <w:gridCol w:w="400"/>
        <w:gridCol w:w="400"/>
        <w:gridCol w:w="480"/>
        <w:gridCol w:w="4319"/>
        <w:gridCol w:w="709"/>
        <w:gridCol w:w="850"/>
        <w:gridCol w:w="851"/>
        <w:gridCol w:w="708"/>
        <w:gridCol w:w="993"/>
      </w:tblGrid>
      <w:tr w:rsidR="00E257C1" w:rsidTr="00D12F80">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CÓD.</w:t>
            </w:r>
          </w:p>
        </w:tc>
        <w:tc>
          <w:tcPr>
            <w:tcW w:w="431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ESPECIFICAÇÃO DO ITEM</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UNIDADE</w:t>
            </w:r>
          </w:p>
        </w:tc>
        <w:tc>
          <w:tcPr>
            <w:tcW w:w="85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QUANT.</w:t>
            </w:r>
          </w:p>
        </w:tc>
        <w:tc>
          <w:tcPr>
            <w:tcW w:w="85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MARCA</w:t>
            </w:r>
          </w:p>
        </w:tc>
        <w:tc>
          <w:tcPr>
            <w:tcW w:w="70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VALOR UNIT.</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b/>
                <w:sz w:val="10"/>
              </w:rPr>
              <w:t>VALOR TOTAL</w:t>
            </w:r>
          </w:p>
        </w:tc>
      </w:tr>
      <w:tr w:rsidR="00E257C1" w:rsidTr="00D12F80">
        <w:trPr>
          <w:trHeight w:hRule="exact" w:val="156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sz w:val="14"/>
              </w:rPr>
              <w:t>04</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5B0501">
            <w:pPr>
              <w:jc w:val="center"/>
            </w:pPr>
            <w:r>
              <w:rPr>
                <w:rFonts w:ascii="Tahoma" w:eastAsia="Tahoma" w:hAnsi="Tahoma" w:cs="Tahoma"/>
                <w:sz w:val="14"/>
              </w:rPr>
              <w:t>25357</w:t>
            </w:r>
          </w:p>
        </w:tc>
        <w:tc>
          <w:tcPr>
            <w:tcW w:w="4319"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E257C1" w:rsidRDefault="00E257C1" w:rsidP="005B0501">
            <w:pPr>
              <w:jc w:val="both"/>
            </w:pPr>
            <w:r>
              <w:rPr>
                <w:rFonts w:ascii="Tahoma" w:eastAsia="Tahoma" w:hAnsi="Tahoma" w:cs="Tahoma"/>
                <w:sz w:val="14"/>
              </w:rPr>
              <w:t>LINHA 04: SAÍDA DA ESCOLA POLO MUNICIPAL JOSÉ DE ALENCAR EM JACAREÍ COM DESTINO AO ASSENTAMENTO JACOB FRANCIOZI, PASSANDO POR TODOS OS TRAVESSÕES DESTACADOS COMO ASSENTAMENTO DO MST, PASSANDO PELA ALDEIA PORTO LINDO, RETORNANDO ATÉ A ESCOLA POLO MUNICIPAL JOSÉ DE ALENCAR NO DISTRITO DE JACAREÍ/MS. PERCURSO: 03 (TRES) VEZES AO DIA. VEÍCULO: ÔNIBUS. QUILOMETRAGEM: 195,60 KM/DIA. PERÍODO/FREQUÊNCIA: MATUTINO E NOTURNO.</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E257C1">
            <w:pPr>
              <w:jc w:val="center"/>
            </w:pPr>
            <w:r>
              <w:rPr>
                <w:rFonts w:ascii="Tahoma" w:eastAsia="Tahoma" w:hAnsi="Tahoma" w:cs="Tahoma"/>
                <w:sz w:val="14"/>
              </w:rPr>
              <w:t>KM</w:t>
            </w:r>
          </w:p>
        </w:tc>
        <w:tc>
          <w:tcPr>
            <w:tcW w:w="85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E257C1">
            <w:pPr>
              <w:jc w:val="center"/>
            </w:pPr>
            <w:r>
              <w:rPr>
                <w:rFonts w:ascii="Tahoma" w:eastAsia="Tahoma" w:hAnsi="Tahoma" w:cs="Tahoma"/>
                <w:sz w:val="14"/>
              </w:rPr>
              <w:t>4.009,800</w:t>
            </w:r>
          </w:p>
        </w:tc>
        <w:tc>
          <w:tcPr>
            <w:tcW w:w="851"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E257C1" w:rsidRDefault="00E257C1" w:rsidP="00E257C1">
            <w:pPr>
              <w:jc w:val="center"/>
            </w:pPr>
            <w:r>
              <w:rPr>
                <w:rFonts w:ascii="Tahoma" w:eastAsia="Tahoma" w:hAnsi="Tahoma" w:cs="Tahoma"/>
                <w:sz w:val="12"/>
              </w:rPr>
              <w:t>MERCEDES BENZ</w:t>
            </w:r>
          </w:p>
        </w:tc>
        <w:tc>
          <w:tcPr>
            <w:tcW w:w="708"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E257C1" w:rsidRDefault="00E257C1" w:rsidP="00E257C1">
            <w:pPr>
              <w:jc w:val="center"/>
            </w:pPr>
            <w:r>
              <w:rPr>
                <w:rFonts w:ascii="Tahoma" w:eastAsia="Tahoma" w:hAnsi="Tahoma" w:cs="Tahoma"/>
                <w:b/>
                <w:sz w:val="14"/>
              </w:rPr>
              <w:t>5,00</w:t>
            </w:r>
          </w:p>
        </w:tc>
        <w:tc>
          <w:tcPr>
            <w:tcW w:w="993"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E257C1" w:rsidRPr="00D12F80" w:rsidRDefault="00E257C1" w:rsidP="00E257C1">
            <w:pPr>
              <w:jc w:val="center"/>
              <w:rPr>
                <w:rFonts w:ascii="Tahoma" w:hAnsi="Tahoma" w:cs="Tahoma"/>
                <w:sz w:val="14"/>
                <w:szCs w:val="14"/>
              </w:rPr>
            </w:pPr>
            <w:r w:rsidRPr="00D12F80">
              <w:rPr>
                <w:rFonts w:ascii="Tahoma" w:hAnsi="Tahoma" w:cs="Tahoma"/>
                <w:sz w:val="14"/>
                <w:szCs w:val="14"/>
              </w:rPr>
              <w:t>20.049,00</w:t>
            </w:r>
          </w:p>
        </w:tc>
      </w:tr>
    </w:tbl>
    <w:p w:rsidR="00E257C1" w:rsidRPr="007C51E2" w:rsidRDefault="00E257C1" w:rsidP="00E257C1">
      <w:pPr>
        <w:widowControl w:val="0"/>
        <w:overflowPunct w:val="0"/>
        <w:autoSpaceDE w:val="0"/>
        <w:autoSpaceDN w:val="0"/>
        <w:adjustRightInd w:val="0"/>
        <w:jc w:val="both"/>
        <w:textAlignment w:val="baseline"/>
        <w:rPr>
          <w:rFonts w:asciiTheme="majorHAnsi" w:hAnsiTheme="majorHAnsi" w:cs="Tahoma"/>
          <w:iCs/>
          <w:sz w:val="22"/>
          <w:szCs w:val="22"/>
        </w:rPr>
      </w:pPr>
    </w:p>
    <w:p w:rsidR="00E257C1" w:rsidRPr="007C51E2" w:rsidRDefault="00E257C1" w:rsidP="003A18BB">
      <w:pPr>
        <w:overflowPunct w:val="0"/>
        <w:autoSpaceDE w:val="0"/>
        <w:autoSpaceDN w:val="0"/>
        <w:adjustRightInd w:val="0"/>
        <w:ind w:right="567"/>
        <w:jc w:val="both"/>
        <w:textAlignment w:val="baseline"/>
        <w:rPr>
          <w:rFonts w:asciiTheme="majorHAnsi" w:hAnsiTheme="majorHAnsi" w:cs="Tahoma"/>
          <w:bCs/>
          <w:sz w:val="22"/>
          <w:szCs w:val="22"/>
        </w:rPr>
      </w:pPr>
    </w:p>
    <w:p w:rsidR="00E51349" w:rsidRPr="007C51E2" w:rsidRDefault="00E51349" w:rsidP="00AF398D">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AF398D">
      <w:pPr>
        <w:ind w:right="-1"/>
        <w:jc w:val="both"/>
        <w:rPr>
          <w:rFonts w:asciiTheme="majorHAnsi" w:hAnsiTheme="majorHAnsi" w:cs="Tahoma"/>
          <w:bCs/>
          <w:iCs/>
          <w:sz w:val="22"/>
          <w:szCs w:val="22"/>
        </w:rPr>
      </w:pPr>
    </w:p>
    <w:p w:rsidR="00D059FE" w:rsidRPr="007C51E2" w:rsidRDefault="00D059FE" w:rsidP="00AF398D">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0C75B5">
      <w:pPr>
        <w:ind w:right="567"/>
        <w:jc w:val="both"/>
        <w:rPr>
          <w:sz w:val="22"/>
          <w:szCs w:val="22"/>
        </w:rPr>
      </w:pPr>
    </w:p>
    <w:p w:rsidR="00D059FE" w:rsidRPr="007C51E2" w:rsidRDefault="00D059FE" w:rsidP="00AF398D">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57744C">
      <w:pPr>
        <w:ind w:left="567" w:right="567"/>
        <w:jc w:val="both"/>
        <w:rPr>
          <w:b/>
          <w:sz w:val="22"/>
          <w:szCs w:val="22"/>
        </w:rPr>
      </w:pPr>
    </w:p>
    <w:p w:rsidR="00D059FE" w:rsidRPr="007C51E2" w:rsidRDefault="00D059FE" w:rsidP="00AF398D">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0C75B5">
      <w:pPr>
        <w:overflowPunct w:val="0"/>
        <w:autoSpaceDE w:val="0"/>
        <w:autoSpaceDN w:val="0"/>
        <w:adjustRightInd w:val="0"/>
        <w:ind w:right="567"/>
        <w:jc w:val="both"/>
        <w:textAlignment w:val="baseline"/>
        <w:rPr>
          <w:sz w:val="22"/>
          <w:szCs w:val="22"/>
        </w:rPr>
      </w:pP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iCs/>
          <w:sz w:val="22"/>
          <w:szCs w:val="22"/>
        </w:rPr>
      </w:pPr>
    </w:p>
    <w:p w:rsidR="00A80D5A" w:rsidRDefault="00A80D5A" w:rsidP="00AF398D">
      <w:pPr>
        <w:overflowPunct w:val="0"/>
        <w:autoSpaceDE w:val="0"/>
        <w:autoSpaceDN w:val="0"/>
        <w:adjustRightInd w:val="0"/>
        <w:ind w:right="-1"/>
        <w:jc w:val="both"/>
        <w:textAlignment w:val="baseline"/>
        <w:rPr>
          <w:rFonts w:asciiTheme="majorHAnsi" w:hAnsiTheme="majorHAnsi" w:cs="Tahoma"/>
          <w:b/>
          <w:bCs/>
          <w:iCs/>
          <w:sz w:val="22"/>
          <w:szCs w:val="22"/>
        </w:rPr>
      </w:pP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635576" w:rsidRPr="007C51E2" w:rsidRDefault="00A47A38" w:rsidP="00AF398D">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635576" w:rsidP="00AF398D">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AF398D">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A80D5A" w:rsidRPr="007C51E2" w:rsidRDefault="00A80D5A" w:rsidP="00AF398D">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AF398D" w:rsidP="00AF398D">
      <w:pPr>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sz w:val="22"/>
          <w:szCs w:val="22"/>
        </w:rPr>
        <w:t xml:space="preserve">CLÁUSULA QUINTA </w:t>
      </w:r>
      <w:r w:rsidR="003419FA" w:rsidRPr="007C51E2">
        <w:rPr>
          <w:rFonts w:asciiTheme="majorHAnsi" w:hAnsiTheme="majorHAnsi" w:cs="Tahoma"/>
          <w:b/>
          <w:bCs/>
          <w:iCs/>
          <w:sz w:val="22"/>
          <w:szCs w:val="22"/>
        </w:rPr>
        <w:t>- DO PREÇO E DO REAJUSTE</w:t>
      </w:r>
      <w:r w:rsidR="003419FA" w:rsidRPr="007C51E2">
        <w:rPr>
          <w:rFonts w:asciiTheme="majorHAnsi" w:hAnsiTheme="majorHAnsi" w:cs="Tahoma"/>
          <w:bCs/>
          <w:iCs/>
          <w:sz w:val="22"/>
          <w:szCs w:val="22"/>
        </w:rPr>
        <w:t>:</w:t>
      </w: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F398D">
      <w:pPr>
        <w:keepNext/>
        <w:ind w:right="-1"/>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AF398D">
      <w:pPr>
        <w:widowControl w:val="0"/>
        <w:overflowPunct w:val="0"/>
        <w:autoSpaceDE w:val="0"/>
        <w:autoSpaceDN w:val="0"/>
        <w:adjustRightInd w:val="0"/>
        <w:ind w:right="-1"/>
        <w:jc w:val="both"/>
        <w:textAlignment w:val="baseline"/>
        <w:rPr>
          <w:rFonts w:asciiTheme="majorHAnsi" w:hAnsiTheme="majorHAnsi" w:cs="Tahoma"/>
          <w:bCs/>
          <w:iCs/>
          <w:sz w:val="22"/>
          <w:szCs w:val="22"/>
        </w:rPr>
      </w:pPr>
    </w:p>
    <w:p w:rsidR="00E53077" w:rsidRPr="007C51E2" w:rsidRDefault="00D321B4" w:rsidP="00AF398D">
      <w:pPr>
        <w:ind w:right="-1"/>
        <w:jc w:val="both"/>
        <w:rPr>
          <w:sz w:val="22"/>
          <w:szCs w:val="22"/>
        </w:rPr>
      </w:pPr>
      <w:r w:rsidRPr="007C51E2">
        <w:rPr>
          <w:b/>
          <w:sz w:val="22"/>
          <w:szCs w:val="22"/>
        </w:rPr>
        <w:t>6.5</w:t>
      </w:r>
      <w:r w:rsidRPr="007C51E2">
        <w:rPr>
          <w:sz w:val="22"/>
          <w:szCs w:val="22"/>
        </w:rPr>
        <w:t xml:space="preserve"> – O prazo de vigência será até </w:t>
      </w:r>
      <w:r w:rsidR="00657A65" w:rsidRPr="00A80D5A">
        <w:rPr>
          <w:b/>
          <w:sz w:val="22"/>
          <w:szCs w:val="22"/>
        </w:rPr>
        <w:t>31</w:t>
      </w:r>
      <w:r w:rsidRPr="00A80D5A">
        <w:rPr>
          <w:b/>
          <w:sz w:val="22"/>
          <w:szCs w:val="22"/>
        </w:rPr>
        <w:t xml:space="preserve"> de </w:t>
      </w:r>
      <w:r w:rsidR="00657A65" w:rsidRPr="00A80D5A">
        <w:rPr>
          <w:b/>
          <w:sz w:val="22"/>
          <w:szCs w:val="22"/>
        </w:rPr>
        <w:t>dezembro</w:t>
      </w:r>
      <w:r w:rsidRPr="00A80D5A">
        <w:rPr>
          <w:b/>
          <w:sz w:val="22"/>
          <w:szCs w:val="22"/>
        </w:rPr>
        <w:t xml:space="preserve"> de 2020</w:t>
      </w:r>
      <w:r w:rsidRPr="007C51E2">
        <w:rPr>
          <w:sz w:val="22"/>
          <w:szCs w:val="22"/>
        </w:rPr>
        <w:t xml:space="preserve">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Default="00F86F06" w:rsidP="00AF398D">
      <w:pPr>
        <w:ind w:right="-1"/>
        <w:jc w:val="both"/>
        <w:rPr>
          <w:rStyle w:val="Forte"/>
          <w:rFonts w:asciiTheme="majorHAnsi" w:hAnsiTheme="majorHAnsi"/>
          <w:b w:val="0"/>
          <w:sz w:val="22"/>
          <w:szCs w:val="22"/>
        </w:rPr>
      </w:pPr>
    </w:p>
    <w:p w:rsidR="00A80D5A" w:rsidRPr="007C51E2" w:rsidRDefault="00A80D5A" w:rsidP="00AF398D">
      <w:pPr>
        <w:ind w:right="-1"/>
        <w:jc w:val="both"/>
        <w:rPr>
          <w:rStyle w:val="Forte"/>
          <w:rFonts w:asciiTheme="majorHAnsi" w:hAnsiTheme="majorHAnsi"/>
          <w:b w:val="0"/>
          <w:sz w:val="22"/>
          <w:szCs w:val="22"/>
        </w:rPr>
      </w:pPr>
    </w:p>
    <w:p w:rsidR="003419FA" w:rsidRPr="007C51E2" w:rsidRDefault="003419FA" w:rsidP="00AF398D">
      <w:pPr>
        <w:ind w:right="-1"/>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AF398D">
      <w:pPr>
        <w:ind w:right="-1"/>
        <w:jc w:val="both"/>
        <w:rPr>
          <w:rStyle w:val="Forte"/>
          <w:rFonts w:asciiTheme="majorHAnsi" w:hAnsiTheme="majorHAnsi"/>
          <w:sz w:val="22"/>
          <w:szCs w:val="22"/>
        </w:rPr>
      </w:pPr>
    </w:p>
    <w:p w:rsidR="0057744C" w:rsidRDefault="003419FA" w:rsidP="00AF398D">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0C75B5">
      <w:pPr>
        <w:ind w:right="567"/>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E257C1" w:rsidRDefault="00E257C1" w:rsidP="00E257C1">
      <w:pPr>
        <w:widowControl w:val="0"/>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Cs/>
          <w:iCs/>
          <w:sz w:val="22"/>
          <w:szCs w:val="22"/>
        </w:rPr>
        <w:t>DOTAÇÃO:</w:t>
      </w:r>
    </w:p>
    <w:p w:rsidR="00E257C1" w:rsidRPr="00742A2B" w:rsidRDefault="00E257C1" w:rsidP="00E257C1">
      <w:pPr>
        <w:pStyle w:val="PargrafodaLista"/>
        <w:widowControl w:val="0"/>
        <w:numPr>
          <w:ilvl w:val="0"/>
          <w:numId w:val="25"/>
        </w:numPr>
        <w:overflowPunct w:val="0"/>
        <w:autoSpaceDE w:val="0"/>
        <w:autoSpaceDN w:val="0"/>
        <w:adjustRightInd w:val="0"/>
        <w:jc w:val="both"/>
        <w:textAlignment w:val="baseline"/>
        <w:rPr>
          <w:rFonts w:asciiTheme="majorHAnsi" w:hAnsiTheme="majorHAnsi" w:cs="Tahoma"/>
          <w:b/>
          <w:bCs/>
          <w:iCs/>
          <w:sz w:val="22"/>
          <w:szCs w:val="22"/>
        </w:rPr>
      </w:pPr>
      <w:r w:rsidRPr="00742A2B">
        <w:rPr>
          <w:rFonts w:asciiTheme="majorHAnsi" w:hAnsiTheme="majorHAnsi" w:cs="Tahoma"/>
          <w:b/>
          <w:bCs/>
          <w:iCs/>
          <w:sz w:val="22"/>
          <w:szCs w:val="22"/>
        </w:rPr>
        <w:t xml:space="preserve">Fundo de </w:t>
      </w:r>
      <w:proofErr w:type="spellStart"/>
      <w:r w:rsidRPr="00742A2B">
        <w:rPr>
          <w:rFonts w:asciiTheme="majorHAnsi" w:hAnsiTheme="majorHAnsi" w:cs="Tahoma"/>
          <w:b/>
          <w:bCs/>
          <w:iCs/>
          <w:sz w:val="22"/>
          <w:szCs w:val="22"/>
        </w:rPr>
        <w:t>Manut</w:t>
      </w:r>
      <w:proofErr w:type="spellEnd"/>
      <w:r w:rsidRPr="00742A2B">
        <w:rPr>
          <w:rFonts w:asciiTheme="majorHAnsi" w:hAnsiTheme="majorHAnsi" w:cs="Tahoma"/>
          <w:b/>
          <w:bCs/>
          <w:iCs/>
          <w:sz w:val="22"/>
          <w:szCs w:val="22"/>
        </w:rPr>
        <w:t xml:space="preserve">. </w:t>
      </w:r>
      <w:proofErr w:type="spellStart"/>
      <w:r w:rsidRPr="00742A2B">
        <w:rPr>
          <w:rFonts w:asciiTheme="majorHAnsi" w:hAnsiTheme="majorHAnsi" w:cs="Tahoma"/>
          <w:b/>
          <w:bCs/>
          <w:iCs/>
          <w:sz w:val="22"/>
          <w:szCs w:val="22"/>
        </w:rPr>
        <w:t>Desenv</w:t>
      </w:r>
      <w:proofErr w:type="spellEnd"/>
      <w:r w:rsidRPr="00742A2B">
        <w:rPr>
          <w:rFonts w:asciiTheme="majorHAnsi" w:hAnsiTheme="majorHAnsi" w:cs="Tahoma"/>
          <w:b/>
          <w:bCs/>
          <w:iCs/>
          <w:sz w:val="22"/>
          <w:szCs w:val="22"/>
        </w:rPr>
        <w:t>. Da Educ. Básica e De Val. Mag. - FUNDEB</w:t>
      </w:r>
    </w:p>
    <w:p w:rsidR="00E257C1" w:rsidRDefault="00E257C1" w:rsidP="00E257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12.361.0025.2-024 – Manutenção do FUNDEB 40% - Fundamental. – FICHA (133)</w:t>
      </w:r>
    </w:p>
    <w:p w:rsidR="00E257C1" w:rsidRDefault="00E257C1" w:rsidP="00E257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 </w:t>
      </w:r>
      <w:r w:rsidRPr="003742B3">
        <w:rPr>
          <w:rFonts w:asciiTheme="majorHAnsi" w:hAnsiTheme="majorHAnsi" w:cs="Tahoma"/>
          <w:bCs/>
          <w:iCs/>
          <w:sz w:val="22"/>
          <w:szCs w:val="22"/>
        </w:rPr>
        <w:t>– Outros Serviços de Terceiros – Pessoa Jurídica</w:t>
      </w:r>
      <w:r>
        <w:rPr>
          <w:rFonts w:asciiTheme="majorHAnsi" w:hAnsiTheme="majorHAnsi" w:cs="Tahoma"/>
          <w:bCs/>
          <w:iCs/>
          <w:sz w:val="22"/>
          <w:szCs w:val="22"/>
        </w:rPr>
        <w:t>.</w:t>
      </w:r>
    </w:p>
    <w:p w:rsidR="00E257C1" w:rsidRPr="00742A2B" w:rsidRDefault="00E257C1" w:rsidP="00E257C1">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rFonts w:asciiTheme="majorHAnsi" w:hAnsiTheme="majorHAnsi" w:cs="Tahoma"/>
          <w:b/>
          <w:bCs/>
          <w:iCs/>
          <w:color w:val="000000"/>
          <w:sz w:val="22"/>
          <w:szCs w:val="22"/>
        </w:rPr>
        <w:t>VALOR: R$ 20.049,00 (</w:t>
      </w:r>
      <w:r w:rsidRPr="00864107">
        <w:rPr>
          <w:rFonts w:asciiTheme="majorHAnsi" w:hAnsiTheme="majorHAnsi" w:cs="Tahoma"/>
          <w:b/>
          <w:bCs/>
          <w:iCs/>
          <w:color w:val="000000"/>
          <w:sz w:val="22"/>
          <w:szCs w:val="22"/>
        </w:rPr>
        <w:t>vinte mil e quarenta e nove reais</w:t>
      </w:r>
      <w:r>
        <w:rPr>
          <w:rFonts w:asciiTheme="majorHAnsi" w:hAnsiTheme="majorHAnsi" w:cs="Tahoma"/>
          <w:b/>
          <w:bCs/>
          <w:iCs/>
          <w:color w:val="000000"/>
          <w:sz w:val="22"/>
          <w:szCs w:val="22"/>
        </w:rPr>
        <w:t>)</w:t>
      </w:r>
    </w:p>
    <w:p w:rsidR="0057744C" w:rsidRDefault="00AF398D"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r w:rsidRPr="007C51E2">
        <w:rPr>
          <w:noProof/>
          <w:lang w:eastAsia="pt-BR"/>
        </w:rPr>
        <mc:AlternateContent>
          <mc:Choice Requires="wps">
            <w:drawing>
              <wp:anchor distT="0" distB="0" distL="114300" distR="114300" simplePos="0" relativeHeight="251660288" behindDoc="0" locked="0" layoutInCell="1" allowOverlap="1" wp14:anchorId="0ACD78B2" wp14:editId="079C09C0">
                <wp:simplePos x="0" y="0"/>
                <wp:positionH relativeFrom="column">
                  <wp:posOffset>1905</wp:posOffset>
                </wp:positionH>
                <wp:positionV relativeFrom="paragraph">
                  <wp:posOffset>231775</wp:posOffset>
                </wp:positionV>
                <wp:extent cx="6410325" cy="6858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rsidR="00D465EE" w:rsidRPr="00D813B8" w:rsidRDefault="00D465EE"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D465EE" w:rsidRDefault="00D465EE" w:rsidP="00D46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CD78B2" id="_x0000_t202" coordsize="21600,21600" o:spt="202" path="m,l,21600r21600,l21600,xe">
                <v:stroke joinstyle="miter"/>
                <v:path gradientshapeok="t" o:connecttype="rect"/>
              </v:shapetype>
              <v:shape id="Text Box 5" o:spid="_x0000_s1026" type="#_x0000_t202" style="position:absolute;left:0;text-align:left;margin-left:.15pt;margin-top:18.25pt;width:504.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">
                <v:textbox>
                  <w:txbxContent>
                    <w:p w:rsidR="00D465EE" w:rsidRPr="00D813B8" w:rsidRDefault="00D465EE"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D465EE" w:rsidRDefault="00D465EE" w:rsidP="00D465EE"/>
                  </w:txbxContent>
                </v:textbox>
                <w10:wrap type="square"/>
              </v:shape>
            </w:pict>
          </mc:Fallback>
        </mc:AlternateContent>
      </w:r>
    </w:p>
    <w:p w:rsidR="00AF398D" w:rsidRDefault="00AF398D"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CLÁUSULA OITAVA - DAS PENALIDADES</w:t>
      </w:r>
      <w:r w:rsidRPr="007C51E2">
        <w:rPr>
          <w:rFonts w:asciiTheme="majorHAnsi" w:hAnsiTheme="majorHAnsi" w:cs="Tahoma"/>
          <w:bCs/>
          <w:iCs/>
          <w:sz w:val="22"/>
          <w:szCs w:val="22"/>
        </w:rPr>
        <w:t>:</w:t>
      </w:r>
    </w:p>
    <w:p w:rsidR="0057744C" w:rsidRPr="007C51E2" w:rsidRDefault="0057744C"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AF398D">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F398D">
      <w:pPr>
        <w:ind w:right="-1"/>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0C75B5">
      <w:pPr>
        <w:ind w:right="567"/>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A80D5A">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A80D5A">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A80D5A">
      <w:pPr>
        <w:ind w:right="-1"/>
        <w:jc w:val="both"/>
        <w:rPr>
          <w:rFonts w:asciiTheme="majorHAnsi" w:hAnsiTheme="majorHAnsi" w:cs="Tahoma"/>
          <w:bCs/>
          <w:iCs/>
          <w:sz w:val="22"/>
          <w:szCs w:val="22"/>
          <w:lang w:eastAsia="pt-BR"/>
        </w:rPr>
      </w:pPr>
    </w:p>
    <w:p w:rsidR="003419FA" w:rsidRPr="007C51E2" w:rsidRDefault="003419FA" w:rsidP="00A80D5A">
      <w:pPr>
        <w:ind w:right="-1"/>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A80D5A">
      <w:pPr>
        <w:ind w:right="-1"/>
        <w:jc w:val="both"/>
        <w:rPr>
          <w:rFonts w:asciiTheme="majorHAnsi" w:hAnsiTheme="majorHAnsi" w:cs="Tahoma"/>
          <w:iCs/>
          <w:sz w:val="22"/>
          <w:szCs w:val="22"/>
          <w:lang w:eastAsia="pt-BR"/>
        </w:rPr>
      </w:pP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A80D5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F69D4" w:rsidRPr="007C51E2" w:rsidRDefault="00CF69D4" w:rsidP="000C75B5">
      <w:pPr>
        <w:keepNext/>
        <w:ind w:right="567"/>
        <w:jc w:val="both"/>
        <w:outlineLvl w:val="2"/>
        <w:rPr>
          <w:rFonts w:asciiTheme="majorHAnsi" w:hAnsiTheme="majorHAnsi" w:cs="Tahoma"/>
          <w:iCs/>
          <w:sz w:val="22"/>
          <w:szCs w:val="22"/>
          <w:lang w:eastAsia="pt-BR"/>
        </w:rPr>
      </w:pPr>
    </w:p>
    <w:p w:rsidR="003419FA" w:rsidRPr="007C51E2" w:rsidRDefault="003419FA" w:rsidP="00A80D5A">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A80D5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80D5A">
      <w:pPr>
        <w:widowControl w:val="0"/>
        <w:tabs>
          <w:tab w:val="left" w:pos="705"/>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Pr="007C51E2" w:rsidRDefault="003419FA" w:rsidP="00A80D5A">
      <w:pPr>
        <w:keepNext/>
        <w:tabs>
          <w:tab w:val="left" w:pos="0"/>
        </w:tabs>
        <w:ind w:right="-1"/>
        <w:jc w:val="both"/>
        <w:outlineLvl w:val="4"/>
        <w:rPr>
          <w:rFonts w:asciiTheme="majorHAnsi" w:hAnsiTheme="majorHAnsi" w:cs="Tahoma"/>
          <w:iCs/>
          <w:sz w:val="22"/>
          <w:szCs w:val="22"/>
          <w:lang w:eastAsia="pt-BR"/>
        </w:rPr>
      </w:pPr>
    </w:p>
    <w:p w:rsidR="003419FA" w:rsidRPr="007C51E2" w:rsidRDefault="003419FA" w:rsidP="00A80D5A">
      <w:pPr>
        <w:keepNext/>
        <w:tabs>
          <w:tab w:val="left" w:pos="0"/>
        </w:tabs>
        <w:ind w:right="-1"/>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A80D5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80D5A">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0C75B5"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0C75B5" w:rsidRPr="007C51E2"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p>
    <w:p w:rsidR="00B539D7" w:rsidRPr="007C51E2" w:rsidRDefault="003419FA" w:rsidP="00A80D5A">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A80D5A">
      <w:pPr>
        <w:widowControl w:val="0"/>
        <w:autoSpaceDE w:val="0"/>
        <w:autoSpaceDN w:val="0"/>
        <w:adjustRightInd w:val="0"/>
        <w:ind w:right="-1"/>
        <w:jc w:val="both"/>
        <w:rPr>
          <w:rFonts w:asciiTheme="majorHAnsi" w:hAnsiTheme="majorHAnsi" w:cs="Tahoma"/>
          <w:sz w:val="22"/>
          <w:szCs w:val="22"/>
        </w:rPr>
      </w:pPr>
    </w:p>
    <w:p w:rsidR="00B539D7" w:rsidRPr="007C51E2" w:rsidRDefault="00B539D7" w:rsidP="00A80D5A">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A80D5A" w:rsidRDefault="00A80D5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A80D5A" w:rsidRDefault="00A80D5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A80D5A" w:rsidRDefault="00A80D5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A80D5A" w:rsidRDefault="00A80D5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A80D5A" w:rsidRPr="007C51E2" w:rsidRDefault="00A80D5A" w:rsidP="00A80D5A">
      <w:pPr>
        <w:overflowPunct w:val="0"/>
        <w:autoSpaceDE w:val="0"/>
        <w:autoSpaceDN w:val="0"/>
        <w:adjustRightInd w:val="0"/>
        <w:ind w:right="-1"/>
        <w:jc w:val="both"/>
        <w:textAlignment w:val="baseline"/>
        <w:rPr>
          <w:rFonts w:asciiTheme="majorHAnsi" w:hAnsiTheme="majorHAnsi" w:cs="Tahoma"/>
          <w:bCs/>
          <w:iCs/>
          <w:sz w:val="22"/>
          <w:szCs w:val="22"/>
        </w:rPr>
      </w:pP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A80D5A">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A80D5A">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A80D5A">
      <w:pPr>
        <w:ind w:right="-1"/>
        <w:jc w:val="both"/>
        <w:rPr>
          <w:rFonts w:asciiTheme="majorHAnsi" w:hAnsiTheme="majorHAnsi" w:cs="Tahoma"/>
          <w:iCs/>
          <w:sz w:val="22"/>
          <w:szCs w:val="22"/>
          <w:lang w:eastAsia="pt-BR"/>
        </w:rPr>
      </w:pPr>
    </w:p>
    <w:p w:rsidR="003419FA" w:rsidRPr="007C51E2" w:rsidRDefault="003419FA" w:rsidP="00A80D5A">
      <w:pPr>
        <w:ind w:right="-1"/>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Default="007B76A2" w:rsidP="000C75B5">
      <w:pPr>
        <w:widowControl w:val="0"/>
        <w:autoSpaceDE w:val="0"/>
        <w:autoSpaceDN w:val="0"/>
        <w:adjustRightInd w:val="0"/>
        <w:ind w:right="567"/>
        <w:jc w:val="both"/>
        <w:rPr>
          <w:rFonts w:asciiTheme="majorHAnsi" w:hAnsiTheme="majorHAnsi" w:cs="Tahoma"/>
          <w:sz w:val="22"/>
          <w:szCs w:val="22"/>
        </w:rPr>
      </w:pPr>
    </w:p>
    <w:p w:rsidR="00A80D5A" w:rsidRPr="007C51E2" w:rsidRDefault="00A80D5A"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Default="00E371A9" w:rsidP="003429C1">
      <w:pPr>
        <w:widowControl w:val="0"/>
        <w:autoSpaceDE w:val="0"/>
        <w:autoSpaceDN w:val="0"/>
        <w:adjustRightInd w:val="0"/>
        <w:jc w:val="both"/>
        <w:rPr>
          <w:rFonts w:asciiTheme="majorHAnsi" w:hAnsiTheme="majorHAnsi" w:cs="Tahoma"/>
          <w:bCs/>
          <w:sz w:val="22"/>
          <w:szCs w:val="22"/>
        </w:rPr>
      </w:pPr>
    </w:p>
    <w:p w:rsidR="00A80D5A" w:rsidRPr="007C51E2" w:rsidRDefault="00A80D5A"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D12F80">
          <w:headerReference w:type="default" r:id="rId9"/>
          <w:footerReference w:type="even" r:id="rId10"/>
          <w:footerReference w:type="default" r:id="rId11"/>
          <w:pgSz w:w="11907" w:h="16840" w:code="9"/>
          <w:pgMar w:top="1905" w:right="992" w:bottom="709" w:left="851"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E257C1" w:rsidRDefault="00E257C1"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iCs/>
          <w:snapToGrid w:val="0"/>
          <w:sz w:val="22"/>
          <w:szCs w:val="22"/>
        </w:rPr>
        <w:t>ELAINE PEREIRA DA SILVA - MEI</w:t>
      </w:r>
      <w:r>
        <w:rPr>
          <w:rFonts w:asciiTheme="majorHAnsi" w:hAnsiTheme="majorHAnsi" w:cs="Tahoma"/>
          <w:b/>
          <w:bCs/>
          <w:sz w:val="22"/>
          <w:szCs w:val="22"/>
        </w:rPr>
        <w:t xml:space="preserve"> </w:t>
      </w:r>
    </w:p>
    <w:p w:rsidR="00E257C1" w:rsidRDefault="00E257C1" w:rsidP="00AD2333">
      <w:pPr>
        <w:overflowPunct w:val="0"/>
        <w:autoSpaceDE w:val="0"/>
        <w:autoSpaceDN w:val="0"/>
        <w:adjustRightInd w:val="0"/>
        <w:ind w:left="-567" w:right="142"/>
        <w:jc w:val="center"/>
        <w:textAlignment w:val="baseline"/>
        <w:rPr>
          <w:rFonts w:asciiTheme="majorHAnsi" w:hAnsiTheme="majorHAnsi" w:cs="Tahoma"/>
          <w:b/>
          <w:iCs/>
          <w:snapToGrid w:val="0"/>
          <w:sz w:val="22"/>
          <w:szCs w:val="22"/>
        </w:rPr>
      </w:pPr>
      <w:r>
        <w:rPr>
          <w:rFonts w:asciiTheme="majorHAnsi" w:hAnsiTheme="majorHAnsi" w:cs="Tahoma"/>
          <w:b/>
          <w:iCs/>
          <w:snapToGrid w:val="0"/>
          <w:sz w:val="22"/>
          <w:szCs w:val="22"/>
        </w:rPr>
        <w:t xml:space="preserve">ELAINE PEREIRA DA SILVA </w:t>
      </w:r>
    </w:p>
    <w:p w:rsidR="00D465EE" w:rsidRPr="00D465EE" w:rsidRDefault="00E257C1"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CONTRATADA</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6127D7" w:rsidRDefault="006127D7" w:rsidP="006127D7">
      <w:pPr>
        <w:overflowPunct w:val="0"/>
        <w:autoSpaceDE w:val="0"/>
        <w:autoSpaceDN w:val="0"/>
        <w:adjustRightInd w:val="0"/>
        <w:ind w:left="-567"/>
        <w:jc w:val="both"/>
        <w:textAlignment w:val="baseline"/>
        <w:rPr>
          <w:rFonts w:asciiTheme="majorHAnsi" w:hAnsiTheme="majorHAnsi" w:cs="Tahoma"/>
          <w:bCs/>
          <w:sz w:val="22"/>
          <w:szCs w:val="22"/>
        </w:rPr>
      </w:pPr>
    </w:p>
    <w:p w:rsidR="006127D7" w:rsidRDefault="006127D7" w:rsidP="006127D7">
      <w:pPr>
        <w:overflowPunct w:val="0"/>
        <w:autoSpaceDE w:val="0"/>
        <w:autoSpaceDN w:val="0"/>
        <w:adjustRightInd w:val="0"/>
        <w:ind w:left="-567"/>
        <w:jc w:val="both"/>
        <w:textAlignment w:val="baseline"/>
        <w:rPr>
          <w:rFonts w:asciiTheme="majorHAnsi" w:hAnsiTheme="majorHAnsi" w:cs="Tahoma"/>
          <w:bCs/>
          <w:sz w:val="22"/>
          <w:szCs w:val="22"/>
        </w:rPr>
      </w:pPr>
    </w:p>
    <w:p w:rsidR="00D465EE" w:rsidRDefault="00D465EE" w:rsidP="00F86F06">
      <w:pPr>
        <w:overflowPunct w:val="0"/>
        <w:autoSpaceDE w:val="0"/>
        <w:autoSpaceDN w:val="0"/>
        <w:adjustRightInd w:val="0"/>
        <w:jc w:val="both"/>
        <w:textAlignment w:val="baseline"/>
        <w:rPr>
          <w:rFonts w:asciiTheme="majorHAnsi" w:hAnsiTheme="majorHAnsi" w:cs="Tahoma"/>
          <w:b/>
          <w:bCs/>
          <w:sz w:val="22"/>
          <w:szCs w:val="22"/>
        </w:rPr>
        <w:sectPr w:rsidR="00D465EE" w:rsidSect="006127D7">
          <w:type w:val="continuous"/>
          <w:pgSz w:w="11907" w:h="16840" w:code="9"/>
          <w:pgMar w:top="1905" w:right="992" w:bottom="709" w:left="1797" w:header="284" w:footer="425" w:gutter="0"/>
          <w:cols w:space="720"/>
          <w:noEndnote/>
        </w:sectPr>
      </w:pPr>
    </w:p>
    <w:p w:rsidR="006127D7" w:rsidRDefault="006127D7" w:rsidP="00F86F06">
      <w:pPr>
        <w:overflowPunct w:val="0"/>
        <w:autoSpaceDE w:val="0"/>
        <w:autoSpaceDN w:val="0"/>
        <w:adjustRightInd w:val="0"/>
        <w:jc w:val="both"/>
        <w:textAlignment w:val="baseline"/>
        <w:rPr>
          <w:rFonts w:asciiTheme="majorHAnsi" w:hAnsiTheme="majorHAnsi" w:cs="Tahoma"/>
          <w:b/>
          <w:bCs/>
          <w:sz w:val="22"/>
          <w:szCs w:val="22"/>
        </w:rPr>
      </w:pPr>
    </w:p>
    <w:p w:rsidR="00F86F06" w:rsidRPr="00F86F06" w:rsidRDefault="00F86F06" w:rsidP="00F86F06">
      <w:pPr>
        <w:overflowPunct w:val="0"/>
        <w:autoSpaceDE w:val="0"/>
        <w:autoSpaceDN w:val="0"/>
        <w:adjustRightInd w:val="0"/>
        <w:jc w:val="both"/>
        <w:textAlignment w:val="baseline"/>
        <w:rPr>
          <w:rFonts w:asciiTheme="majorHAnsi" w:hAnsiTheme="majorHAnsi" w:cs="Tahoma"/>
          <w:b/>
          <w:bCs/>
          <w:sz w:val="22"/>
          <w:szCs w:val="22"/>
        </w:rPr>
        <w:sectPr w:rsidR="00F86F06" w:rsidRPr="00F86F06" w:rsidSect="00D465EE">
          <w:type w:val="continuous"/>
          <w:pgSz w:w="11907" w:h="16840" w:code="9"/>
          <w:pgMar w:top="1905" w:right="992" w:bottom="709" w:left="1797" w:header="284" w:footer="425" w:gutter="0"/>
          <w:cols w:space="720"/>
          <w:noEndnote/>
        </w:sectPr>
      </w:pPr>
    </w:p>
    <w:p w:rsidR="006127D7" w:rsidRDefault="00657A65"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t xml:space="preserve"> </w:t>
      </w:r>
      <w:r>
        <w:rPr>
          <w:rFonts w:asciiTheme="majorHAnsi" w:hAnsiTheme="majorHAnsi" w:cs="Tahoma"/>
          <w:bCs/>
          <w:sz w:val="22"/>
          <w:szCs w:val="22"/>
        </w:rPr>
        <w:tab/>
      </w:r>
      <w:r w:rsidR="006127D7">
        <w:rPr>
          <w:rFonts w:asciiTheme="majorHAnsi" w:hAnsiTheme="majorHAnsi" w:cs="Tahoma"/>
          <w:bCs/>
          <w:sz w:val="22"/>
          <w:szCs w:val="22"/>
        </w:rPr>
        <w:t xml:space="preserve">  </w:t>
      </w:r>
      <w:r>
        <w:rPr>
          <w:rFonts w:asciiTheme="majorHAnsi" w:hAnsiTheme="majorHAnsi" w:cs="Tahoma"/>
          <w:bCs/>
          <w:sz w:val="22"/>
          <w:szCs w:val="22"/>
        </w:rPr>
        <w:t xml:space="preserve">     </w:t>
      </w: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EE" w:rsidRDefault="00D465EE">
      <w:r>
        <w:separator/>
      </w:r>
    </w:p>
  </w:endnote>
  <w:endnote w:type="continuationSeparator" w:id="0">
    <w:p w:rsidR="00D465EE" w:rsidRDefault="00D4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465EE" w:rsidRDefault="00D465E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jc w:val="right"/>
    </w:pPr>
  </w:p>
  <w:p w:rsidR="00D465EE" w:rsidRPr="005B0404" w:rsidRDefault="00D465EE"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EE" w:rsidRDefault="00D465EE">
      <w:r>
        <w:separator/>
      </w:r>
    </w:p>
  </w:footnote>
  <w:footnote w:type="continuationSeparator" w:id="0">
    <w:p w:rsidR="00D465EE" w:rsidRDefault="00D4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rsidP="007C1C51">
    <w:pPr>
      <w:pStyle w:val="Cabealho"/>
    </w:pPr>
  </w:p>
  <w:p w:rsidR="00D465EE" w:rsidRPr="00F629E7" w:rsidRDefault="00D465EE"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5" name="Imagem 5"/>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D465EE" w:rsidRPr="007C1C51" w:rsidRDefault="00D465EE"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18BB"/>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2D7"/>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0D5A"/>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398D"/>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12F80"/>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57C1"/>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5FE3-AC2D-4C4B-9139-B14D5E45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2259</Words>
  <Characters>12892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15121</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7</cp:revision>
  <cp:lastPrinted>2020-03-10T18:19:00Z</cp:lastPrinted>
  <dcterms:created xsi:type="dcterms:W3CDTF">2020-03-04T13:15:00Z</dcterms:created>
  <dcterms:modified xsi:type="dcterms:W3CDTF">2020-03-10T18:21:00Z</dcterms:modified>
</cp:coreProperties>
</file>