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707674" w:rsidRPr="00D35920" w:rsidRDefault="00707674" w:rsidP="00707674">
      <w:pPr>
        <w:rPr>
          <w:rFonts w:ascii="Book Antiqua" w:hAnsi="Book Antiqua"/>
          <w:b/>
          <w:sz w:val="24"/>
          <w:szCs w:val="24"/>
        </w:rPr>
      </w:pPr>
    </w:p>
    <w:p w:rsidR="00707674" w:rsidRDefault="00BF17C9" w:rsidP="0070767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AT</w:t>
      </w:r>
      <w:r w:rsidR="00707674">
        <w:rPr>
          <w:rFonts w:ascii="Book Antiqua" w:hAnsi="Book Antiqua"/>
          <w:b/>
          <w:sz w:val="24"/>
          <w:szCs w:val="24"/>
        </w:rPr>
        <w:t xml:space="preserve">A DE REGISTRO DE PREÇOS N° </w:t>
      </w:r>
      <w:r>
        <w:rPr>
          <w:rFonts w:ascii="Book Antiqua" w:hAnsi="Book Antiqua"/>
          <w:b/>
          <w:sz w:val="24"/>
          <w:szCs w:val="24"/>
        </w:rPr>
        <w:t>018/</w:t>
      </w:r>
      <w:r w:rsidR="00707674">
        <w:rPr>
          <w:rFonts w:ascii="Book Antiqua" w:hAnsi="Book Antiqua"/>
          <w:b/>
          <w:sz w:val="24"/>
          <w:szCs w:val="24"/>
        </w:rPr>
        <w:t>2016</w:t>
      </w:r>
    </w:p>
    <w:p w:rsidR="00707674" w:rsidRDefault="00707674" w:rsidP="00707674">
      <w:pPr>
        <w:rPr>
          <w:rFonts w:ascii="Book Antiqua" w:hAnsi="Book Antiqua"/>
          <w:b/>
          <w:sz w:val="24"/>
          <w:szCs w:val="24"/>
        </w:rPr>
      </w:pPr>
    </w:p>
    <w:p w:rsidR="00BF17C9" w:rsidRDefault="00BF17C9" w:rsidP="00BF17C9">
      <w:pPr>
        <w:rPr>
          <w:rFonts w:ascii="Book Antiqua" w:hAnsi="Book Antiqua"/>
          <w:b/>
          <w:sz w:val="24"/>
          <w:szCs w:val="24"/>
        </w:rPr>
      </w:pPr>
    </w:p>
    <w:p w:rsidR="00BF17C9" w:rsidRPr="00D35920" w:rsidRDefault="00BF17C9" w:rsidP="00BF17C9">
      <w:pPr>
        <w:rPr>
          <w:rFonts w:ascii="Book Antiqua" w:hAnsi="Book Antiqua"/>
          <w:b/>
          <w:sz w:val="24"/>
          <w:szCs w:val="24"/>
        </w:rPr>
      </w:pPr>
      <w:r w:rsidRPr="00D35920">
        <w:rPr>
          <w:rFonts w:ascii="Book Antiqua" w:hAnsi="Book Antiqua"/>
          <w:b/>
          <w:sz w:val="24"/>
          <w:szCs w:val="24"/>
        </w:rPr>
        <w:t xml:space="preserve">PROCESSO Nº </w:t>
      </w:r>
      <w:r>
        <w:rPr>
          <w:rFonts w:ascii="Book Antiqua" w:hAnsi="Book Antiqua"/>
          <w:b/>
          <w:sz w:val="24"/>
          <w:szCs w:val="24"/>
        </w:rPr>
        <w:t>107/2016</w:t>
      </w:r>
    </w:p>
    <w:p w:rsidR="00BF17C9" w:rsidRPr="00827985" w:rsidRDefault="00BF17C9" w:rsidP="00BF17C9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>
        <w:rPr>
          <w:rFonts w:ascii="Arial" w:hAnsi="Arial" w:cs="Arial"/>
          <w:b/>
          <w:sz w:val="22"/>
          <w:szCs w:val="22"/>
        </w:rPr>
        <w:t>046/2016</w:t>
      </w:r>
    </w:p>
    <w:p w:rsidR="00BF17C9" w:rsidRPr="00827985" w:rsidRDefault="00BF17C9" w:rsidP="00BF17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VALIDADE DA ATA: 30 de Dezembro de 2016</w:t>
      </w:r>
    </w:p>
    <w:p w:rsidR="00BF17C9" w:rsidRPr="00FD6BA7" w:rsidRDefault="00BF17C9" w:rsidP="00BF17C9">
      <w:pPr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>Aos dias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 (quatro) </w:t>
      </w:r>
      <w:r w:rsidRPr="009E5A45">
        <w:rPr>
          <w:rFonts w:ascii="Arial" w:hAnsi="Arial" w:cs="Arial"/>
          <w:sz w:val="22"/>
          <w:szCs w:val="22"/>
        </w:rPr>
        <w:t>do mês de</w:t>
      </w:r>
      <w:r>
        <w:rPr>
          <w:rFonts w:ascii="Arial" w:hAnsi="Arial" w:cs="Arial"/>
          <w:sz w:val="22"/>
          <w:szCs w:val="22"/>
        </w:rPr>
        <w:t xml:space="preserve"> maio </w:t>
      </w:r>
      <w:r w:rsidRPr="009E5A45">
        <w:rPr>
          <w:rFonts w:ascii="Arial" w:hAnsi="Arial" w:cs="Arial"/>
          <w:sz w:val="22"/>
          <w:szCs w:val="22"/>
        </w:rPr>
        <w:t xml:space="preserve">do ano de dois mil e </w:t>
      </w:r>
      <w:r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</w:t>
      </w:r>
      <w:proofErr w:type="spellStart"/>
      <w:r w:rsidRPr="009E5A45">
        <w:rPr>
          <w:rFonts w:ascii="Arial" w:hAnsi="Arial" w:cs="Arial"/>
          <w:sz w:val="22"/>
          <w:szCs w:val="22"/>
        </w:rPr>
        <w:t>Berneck</w:t>
      </w:r>
      <w:proofErr w:type="spellEnd"/>
      <w:r w:rsidRPr="009E5A45">
        <w:rPr>
          <w:rFonts w:ascii="Arial" w:hAnsi="Arial" w:cs="Arial"/>
          <w:sz w:val="22"/>
          <w:szCs w:val="22"/>
        </w:rPr>
        <w:t xml:space="preserve">, Estado de Mato Grosso do Sul, tendo em vista a classificação da proposta apresentada no pregão acima mencionado, conforme discriminação desta Ata, homologada em </w:t>
      </w:r>
      <w:r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maio </w:t>
      </w:r>
      <w:r>
        <w:rPr>
          <w:rFonts w:ascii="Arial" w:hAnsi="Arial" w:cs="Arial"/>
          <w:sz w:val="22"/>
          <w:szCs w:val="22"/>
        </w:rPr>
        <w:t>de 2016,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Pr="008056AE">
        <w:rPr>
          <w:rFonts w:ascii="Arial" w:hAnsi="Arial" w:cs="Arial"/>
          <w:sz w:val="22"/>
          <w:szCs w:val="22"/>
        </w:rPr>
        <w:t xml:space="preserve">o </w:t>
      </w:r>
      <w:r w:rsidRPr="00CC076E">
        <w:rPr>
          <w:rFonts w:ascii="Arial" w:hAnsi="Arial" w:cs="Arial"/>
          <w:sz w:val="22"/>
          <w:szCs w:val="22"/>
        </w:rPr>
        <w:t xml:space="preserve">Prefeito Municipal, </w:t>
      </w:r>
      <w:proofErr w:type="spellStart"/>
      <w:r w:rsidRPr="00CC076E">
        <w:rPr>
          <w:rFonts w:ascii="Arial" w:hAnsi="Arial" w:cs="Arial"/>
          <w:sz w:val="22"/>
          <w:szCs w:val="22"/>
        </w:rPr>
        <w:t>Sr</w:t>
      </w:r>
      <w:proofErr w:type="spellEnd"/>
      <w:r w:rsidRPr="00CC076E">
        <w:rPr>
          <w:rFonts w:ascii="Arial" w:hAnsi="Arial" w:cs="Arial"/>
          <w:sz w:val="22"/>
          <w:szCs w:val="22"/>
        </w:rPr>
        <w:t xml:space="preserve"> </w:t>
      </w:r>
      <w:r w:rsidRPr="00CC076E">
        <w:rPr>
          <w:rFonts w:ascii="Arial" w:hAnsi="Arial" w:cs="Arial"/>
          <w:i/>
          <w:iCs/>
          <w:sz w:val="22"/>
          <w:szCs w:val="22"/>
        </w:rPr>
        <w:t xml:space="preserve">Humberto Carlos Ramos </w:t>
      </w:r>
      <w:proofErr w:type="spellStart"/>
      <w:r w:rsidRPr="00CC076E">
        <w:rPr>
          <w:rFonts w:ascii="Arial" w:hAnsi="Arial" w:cs="Arial"/>
          <w:i/>
          <w:iCs/>
          <w:sz w:val="22"/>
          <w:szCs w:val="22"/>
        </w:rPr>
        <w:t>Amaducci</w:t>
      </w:r>
      <w:proofErr w:type="spellEnd"/>
      <w:r w:rsidRPr="00CC076E">
        <w:rPr>
          <w:rFonts w:ascii="Arial" w:hAnsi="Arial" w:cs="Arial"/>
          <w:i/>
          <w:iCs/>
          <w:sz w:val="22"/>
          <w:szCs w:val="22"/>
        </w:rPr>
        <w:t xml:space="preserve">, </w:t>
      </w:r>
      <w:r w:rsidRPr="00CC076E">
        <w:rPr>
          <w:rFonts w:ascii="Arial" w:hAnsi="Arial" w:cs="Arial"/>
          <w:sz w:val="22"/>
          <w:szCs w:val="22"/>
        </w:rPr>
        <w:t>brasileiro, casado, residente e domiciliado  nesta cidade de MUNDO NOVO (MS), portador do RG nº 486.508 expedida pela SSP/MS, inscrito no CPF sob o nº 368.587.141-20,</w:t>
      </w:r>
      <w:r w:rsidRPr="008056AE">
        <w:rPr>
          <w:rFonts w:ascii="Arial" w:hAnsi="Arial" w:cs="Arial"/>
          <w:sz w:val="22"/>
          <w:szCs w:val="22"/>
        </w:rPr>
        <w:t xml:space="preserve"> </w:t>
      </w:r>
      <w:r w:rsidRPr="009E5A45">
        <w:rPr>
          <w:rFonts w:ascii="Arial" w:hAnsi="Arial" w:cs="Arial"/>
          <w:sz w:val="22"/>
          <w:szCs w:val="22"/>
        </w:rPr>
        <w:t>resolve registrar os preços, de acordo com as especificações constantes no edital do mencionado pregão, em seus anexos e em conformidade com o ajustado a seguir: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827985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>
        <w:rPr>
          <w:rFonts w:ascii="Arial" w:hAnsi="Arial" w:cs="Arial"/>
          <w:sz w:val="22"/>
          <w:szCs w:val="22"/>
          <w:lang w:eastAsia="ar-SA"/>
        </w:rPr>
        <w:t>107/2016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>
        <w:rPr>
          <w:rFonts w:ascii="Arial" w:hAnsi="Arial" w:cs="Arial"/>
          <w:sz w:val="22"/>
          <w:szCs w:val="22"/>
          <w:lang w:eastAsia="ar-SA"/>
        </w:rPr>
        <w:t>46</w:t>
      </w:r>
      <w:r w:rsidRPr="00FD6BA7">
        <w:rPr>
          <w:rFonts w:ascii="Arial" w:hAnsi="Arial" w:cs="Arial"/>
          <w:sz w:val="22"/>
          <w:szCs w:val="22"/>
          <w:lang w:eastAsia="ar-SA"/>
        </w:rPr>
        <w:t>/201</w:t>
      </w:r>
      <w:r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BF17C9" w:rsidRPr="00FD6BA7" w:rsidRDefault="00BF17C9" w:rsidP="00BF17C9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BF17C9" w:rsidRPr="00FD6BA7" w:rsidRDefault="00BF17C9" w:rsidP="00BF17C9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BF17C9" w:rsidRPr="00FD6BA7" w:rsidRDefault="00BF17C9" w:rsidP="00BF17C9">
      <w:pPr>
        <w:rPr>
          <w:rFonts w:ascii="Arial" w:hAnsi="Arial" w:cs="Arial"/>
          <w:sz w:val="22"/>
          <w:szCs w:val="22"/>
        </w:rPr>
      </w:pPr>
    </w:p>
    <w:p w:rsidR="00BF17C9" w:rsidRPr="00827985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DE430D" w:rsidRDefault="00BF17C9" w:rsidP="00BF17C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E430D">
        <w:rPr>
          <w:rFonts w:ascii="Arial" w:hAnsi="Arial" w:cs="Arial"/>
          <w:sz w:val="22"/>
          <w:szCs w:val="22"/>
        </w:rPr>
        <w:t xml:space="preserve">2.1. </w:t>
      </w:r>
      <w:proofErr w:type="gramStart"/>
      <w:r w:rsidRPr="00DE430D">
        <w:rPr>
          <w:rFonts w:ascii="Arial" w:hAnsi="Arial" w:cs="Arial"/>
          <w:sz w:val="22"/>
          <w:szCs w:val="22"/>
        </w:rPr>
        <w:t>A presente</w:t>
      </w:r>
      <w:proofErr w:type="gramEnd"/>
      <w:r w:rsidRPr="00DE430D">
        <w:rPr>
          <w:rFonts w:ascii="Arial" w:hAnsi="Arial" w:cs="Arial"/>
          <w:sz w:val="22"/>
          <w:szCs w:val="22"/>
        </w:rPr>
        <w:t xml:space="preserve"> Ata de Registro de Preços, tem por objeto </w:t>
      </w:r>
      <w:r w:rsidRPr="00DE430D">
        <w:rPr>
          <w:rFonts w:ascii="Arial" w:hAnsi="Arial" w:cs="Arial"/>
          <w:bCs/>
          <w:color w:val="000000"/>
          <w:sz w:val="22"/>
          <w:szCs w:val="22"/>
        </w:rPr>
        <w:t xml:space="preserve">licitação o </w:t>
      </w:r>
      <w:r w:rsidRPr="00DE430D">
        <w:rPr>
          <w:rFonts w:ascii="Arial" w:hAnsi="Arial" w:cs="Arial"/>
          <w:b/>
          <w:bCs/>
          <w:color w:val="000000"/>
          <w:sz w:val="22"/>
          <w:szCs w:val="22"/>
        </w:rPr>
        <w:t>registro de preços</w:t>
      </w:r>
      <w:r>
        <w:rPr>
          <w:rFonts w:ascii="Arial" w:hAnsi="Arial" w:cs="Arial"/>
          <w:bCs/>
          <w:color w:val="000000"/>
          <w:sz w:val="22"/>
          <w:szCs w:val="22"/>
        </w:rPr>
        <w:t>, pelo prazo de até 30 de dezembro de 2016</w:t>
      </w:r>
      <w:r w:rsidRPr="00DE430D">
        <w:rPr>
          <w:rFonts w:ascii="Arial" w:hAnsi="Arial" w:cs="Arial"/>
          <w:bCs/>
          <w:color w:val="000000"/>
          <w:sz w:val="22"/>
          <w:szCs w:val="22"/>
        </w:rPr>
        <w:t>, para eventual</w:t>
      </w:r>
      <w:r w:rsidRPr="00B64696">
        <w:rPr>
          <w:sz w:val="24"/>
          <w:szCs w:val="24"/>
        </w:rPr>
        <w:t xml:space="preserve"> </w:t>
      </w:r>
      <w:r w:rsidRPr="00B42773">
        <w:rPr>
          <w:rFonts w:ascii="Arial" w:hAnsi="Arial" w:cs="Arial"/>
          <w:sz w:val="22"/>
          <w:szCs w:val="22"/>
        </w:rPr>
        <w:t xml:space="preserve">contratação de empresa de serviço de segurança desarmada, destinado aos eventos realizados pelo Departamento de Cultura e Departamento de Esportes e Secretaria de Administração </w:t>
      </w:r>
      <w:r w:rsidRPr="00B42773">
        <w:rPr>
          <w:rFonts w:ascii="Arial" w:hAnsi="Arial" w:cs="Arial"/>
          <w:color w:val="000000"/>
          <w:sz w:val="22"/>
          <w:szCs w:val="22"/>
        </w:rPr>
        <w:t xml:space="preserve">especificações e condições gerais de fornecimento contidas no </w:t>
      </w:r>
      <w:r w:rsidRPr="00B42773">
        <w:rPr>
          <w:rFonts w:ascii="Arial" w:hAnsi="Arial" w:cs="Arial"/>
          <w:bCs/>
          <w:color w:val="000000"/>
          <w:sz w:val="22"/>
          <w:szCs w:val="22"/>
        </w:rPr>
        <w:t>Edital e seus Anexos</w:t>
      </w:r>
      <w:r w:rsidRPr="00B42773">
        <w:rPr>
          <w:rFonts w:ascii="Arial" w:hAnsi="Arial" w:cs="Arial"/>
          <w:color w:val="000000"/>
          <w:sz w:val="22"/>
          <w:szCs w:val="22"/>
        </w:rPr>
        <w:t>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aos detentores do registro de preços, sendo-lhes assegurada a preferência de fornecimento, em igualdade de condições.</w:t>
      </w:r>
    </w:p>
    <w:p w:rsidR="00BF17C9" w:rsidRPr="0030794C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lastRenderedPageBreak/>
        <w:t>CLÁUSULA TERCEIRA - DA VALIDADE DO REGISTRO DE PREÇOS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3.1. A vigência do presente instrumento será</w:t>
      </w:r>
      <w:r>
        <w:rPr>
          <w:rFonts w:ascii="Arial" w:hAnsi="Arial" w:cs="Arial"/>
          <w:sz w:val="22"/>
          <w:szCs w:val="22"/>
        </w:rPr>
        <w:t xml:space="preserve"> da assinatura até 30 de dezembro de 2016.</w:t>
      </w:r>
    </w:p>
    <w:p w:rsidR="00BF17C9" w:rsidRPr="0030794C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FD6BA7" w:rsidRDefault="00BF17C9" w:rsidP="00BF17C9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BF17C9" w:rsidRPr="0030794C" w:rsidRDefault="00BF17C9" w:rsidP="00BF17C9">
      <w:pPr>
        <w:jc w:val="both"/>
        <w:rPr>
          <w:rFonts w:ascii="Arial" w:hAnsi="Arial" w:cs="Arial"/>
          <w:b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4.1</w:t>
      </w:r>
      <w:r>
        <w:rPr>
          <w:rFonts w:ascii="Arial" w:hAnsi="Arial" w:cs="Arial"/>
          <w:b/>
          <w:sz w:val="22"/>
          <w:szCs w:val="22"/>
        </w:rPr>
        <w:t xml:space="preserve">. Caberá à Secretaria Municipal </w:t>
      </w:r>
      <w:r w:rsidR="00E94DF7">
        <w:rPr>
          <w:rFonts w:ascii="Arial" w:hAnsi="Arial" w:cs="Arial"/>
          <w:b/>
          <w:sz w:val="22"/>
          <w:szCs w:val="22"/>
        </w:rPr>
        <w:t xml:space="preserve">de Administração, Fundo Municipal de Cultura e </w:t>
      </w:r>
      <w:r w:rsidR="00E94DF7">
        <w:rPr>
          <w:rFonts w:ascii="Arial" w:hAnsi="Arial" w:cs="Arial"/>
          <w:b/>
          <w:sz w:val="22"/>
          <w:szCs w:val="22"/>
        </w:rPr>
        <w:t xml:space="preserve">Secretaria Municipal </w:t>
      </w:r>
      <w:r w:rsidR="00E94DF7">
        <w:rPr>
          <w:rFonts w:ascii="Arial" w:hAnsi="Arial" w:cs="Arial"/>
          <w:b/>
          <w:sz w:val="22"/>
          <w:szCs w:val="22"/>
        </w:rPr>
        <w:t xml:space="preserve">de Educação, Esporte, cultura e </w:t>
      </w:r>
      <w:proofErr w:type="gramStart"/>
      <w:r w:rsidR="00E94DF7">
        <w:rPr>
          <w:rFonts w:ascii="Arial" w:hAnsi="Arial" w:cs="Arial"/>
          <w:b/>
          <w:sz w:val="22"/>
          <w:szCs w:val="22"/>
        </w:rPr>
        <w:t>Lazer(</w:t>
      </w:r>
      <w:proofErr w:type="gramEnd"/>
      <w:r w:rsidR="00E94DF7">
        <w:rPr>
          <w:rFonts w:ascii="Arial" w:hAnsi="Arial" w:cs="Arial"/>
          <w:b/>
          <w:sz w:val="22"/>
          <w:szCs w:val="22"/>
        </w:rPr>
        <w:t>Departamento de Esporte)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o gerenciamento deste instrumento, no seu aspecto operacional e nas questões legais limitando-se aos serviços solicitados por cada Secretaria.</w:t>
      </w:r>
    </w:p>
    <w:p w:rsidR="00BF17C9" w:rsidRPr="0030794C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30794C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>
        <w:rPr>
          <w:rFonts w:ascii="Arial" w:hAnsi="Arial" w:cs="Arial"/>
          <w:sz w:val="22"/>
          <w:szCs w:val="22"/>
        </w:rPr>
        <w:t xml:space="preserve"> 02 (duas) </w:t>
      </w:r>
      <w:proofErr w:type="gramStart"/>
      <w:r>
        <w:rPr>
          <w:rFonts w:ascii="Arial" w:hAnsi="Arial" w:cs="Arial"/>
          <w:sz w:val="22"/>
          <w:szCs w:val="22"/>
        </w:rPr>
        <w:t>vias</w:t>
      </w:r>
      <w:proofErr w:type="gramEnd"/>
      <w:r>
        <w:rPr>
          <w:rFonts w:ascii="Arial" w:hAnsi="Arial" w:cs="Arial"/>
          <w:sz w:val="22"/>
          <w:szCs w:val="22"/>
        </w:rPr>
        <w:t xml:space="preserve">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30794C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V. Cancelar o registro do fornecedor detentor do preço registrado (Quando a necessário obedecendo a Legislação específica).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a) Promover consulta prévia junto ao Órgão Gestor do Registro de Preços, quando da necessidade de contratação, a fim de obter a indicação do fornecedor, os respectivos quantitativos e os preços a serem </w:t>
      </w:r>
      <w:proofErr w:type="gramStart"/>
      <w:r w:rsidRPr="00FD6BA7">
        <w:rPr>
          <w:rFonts w:ascii="Arial" w:hAnsi="Arial" w:cs="Arial"/>
          <w:sz w:val="22"/>
          <w:szCs w:val="22"/>
        </w:rPr>
        <w:t>praticados, encaminhando, tempestivamente</w:t>
      </w:r>
      <w:proofErr w:type="gramEnd"/>
      <w:r w:rsidRPr="00FD6BA7">
        <w:rPr>
          <w:rFonts w:ascii="Arial" w:hAnsi="Arial" w:cs="Arial"/>
          <w:sz w:val="22"/>
          <w:szCs w:val="22"/>
        </w:rPr>
        <w:t>, as informações sobre a contratação efetivamente realizada.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BF17C9" w:rsidRP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F17C9">
        <w:rPr>
          <w:rFonts w:ascii="Arial" w:hAnsi="Arial" w:cs="Arial"/>
          <w:sz w:val="22"/>
          <w:szCs w:val="22"/>
        </w:rPr>
        <w:t>Email</w:t>
      </w:r>
      <w:proofErr w:type="spellEnd"/>
      <w:r w:rsidRPr="00BF17C9">
        <w:rPr>
          <w:rFonts w:ascii="Arial" w:hAnsi="Arial" w:cs="Arial"/>
          <w:sz w:val="22"/>
          <w:szCs w:val="22"/>
        </w:rPr>
        <w:t xml:space="preserve"> </w:t>
      </w:r>
      <w:r w:rsidRPr="00BF17C9">
        <w:rPr>
          <w:rFonts w:ascii="Arial" w:hAnsi="Arial" w:cs="Arial"/>
          <w:sz w:val="22"/>
          <w:szCs w:val="22"/>
          <w:u w:val="single"/>
        </w:rPr>
        <w:t>licitação_mn@hotmail.com</w:t>
      </w:r>
      <w:r w:rsidRPr="00BF17C9">
        <w:rPr>
          <w:rFonts w:ascii="Arial" w:hAnsi="Arial" w:cs="Arial"/>
          <w:sz w:val="22"/>
          <w:szCs w:val="22"/>
        </w:rPr>
        <w:t>.</w:t>
      </w:r>
    </w:p>
    <w:p w:rsidR="00BF17C9" w:rsidRP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Comunicar ao Órgão Gestor do Registro de Preços, através de documento formal, a constatação de preço de mercado inferior ao preço registrado.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b) Comprovante de realização da Pesquisa de Mercado, caso decorridos mais de </w:t>
      </w:r>
      <w:proofErr w:type="gramStart"/>
      <w:r w:rsidRPr="00FD6BA7">
        <w:rPr>
          <w:rFonts w:ascii="Arial" w:hAnsi="Arial" w:cs="Arial"/>
          <w:sz w:val="22"/>
          <w:szCs w:val="22"/>
        </w:rPr>
        <w:t>180</w:t>
      </w:r>
      <w:proofErr w:type="gramEnd"/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>
        <w:rPr>
          <w:rFonts w:ascii="Arial" w:hAnsi="Arial" w:cs="Arial"/>
          <w:sz w:val="22"/>
          <w:szCs w:val="22"/>
        </w:rPr>
        <w:t>,;</w:t>
      </w:r>
      <w:proofErr w:type="gramEnd"/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lastRenderedPageBreak/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BF17C9" w:rsidRPr="003734B1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3734B1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</w:t>
      </w:r>
      <w:proofErr w:type="gramStart"/>
      <w:r w:rsidRPr="00FD6BA7">
        <w:rPr>
          <w:rFonts w:ascii="Arial" w:hAnsi="Arial" w:cs="Arial"/>
          <w:sz w:val="22"/>
          <w:szCs w:val="22"/>
        </w:rPr>
        <w:t>base para as futuras aquisições, observadas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as condições de mercado.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3734B1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 xml:space="preserve">Gestor convocará o fornecedor para negociar o preço registrado e adequá-lo ao preço corrente, procedendo </w:t>
      </w:r>
      <w:proofErr w:type="gramStart"/>
      <w:r w:rsidRPr="00FD6BA7">
        <w:rPr>
          <w:rFonts w:ascii="Arial" w:hAnsi="Arial" w:cs="Arial"/>
          <w:sz w:val="22"/>
          <w:szCs w:val="22"/>
        </w:rPr>
        <w:t>a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respectiva alteração na Ata, caso haja a concordância do Detentor do Registro. Frustrada a negociação, o fornecedor será </w:t>
      </w:r>
      <w:proofErr w:type="gramStart"/>
      <w:r w:rsidRPr="00FD6BA7">
        <w:rPr>
          <w:rFonts w:ascii="Arial" w:hAnsi="Arial" w:cs="Arial"/>
          <w:sz w:val="22"/>
          <w:szCs w:val="22"/>
        </w:rPr>
        <w:t>liberado do compromisso assumido, respeitados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os contratos já firmados.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ind w:left="708"/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VI. As alterações dos preços registrados oriundas da revisão dos mesmos serão comunicadas aos Participantes e publicadas no Diário Ofi</w:t>
      </w:r>
      <w:r>
        <w:rPr>
          <w:rFonts w:ascii="Arial" w:hAnsi="Arial" w:cs="Arial"/>
          <w:sz w:val="22"/>
          <w:szCs w:val="22"/>
        </w:rPr>
        <w:t>cial do Município de Mundo Novo/MS.</w:t>
      </w:r>
    </w:p>
    <w:p w:rsidR="00BF17C9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7816D1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7816D1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>
        <w:rPr>
          <w:rFonts w:ascii="Arial" w:hAnsi="Arial" w:cs="Arial"/>
          <w:sz w:val="22"/>
          <w:szCs w:val="22"/>
        </w:rPr>
        <w:t>0</w:t>
      </w:r>
      <w:r w:rsidR="00E94DF7">
        <w:rPr>
          <w:rFonts w:ascii="Arial" w:hAnsi="Arial" w:cs="Arial"/>
          <w:sz w:val="22"/>
          <w:szCs w:val="22"/>
        </w:rPr>
        <w:t>46</w:t>
      </w:r>
      <w:r>
        <w:rPr>
          <w:rFonts w:ascii="Arial" w:hAnsi="Arial" w:cs="Arial"/>
          <w:sz w:val="22"/>
          <w:szCs w:val="22"/>
        </w:rPr>
        <w:t>/2016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No caso do fornecedor classificado recusar-se a atender à convocação para assinar a</w:t>
      </w:r>
      <w:r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Na hipótese do detentor de preços registrados </w:t>
      </w:r>
      <w:proofErr w:type="gramStart"/>
      <w:r w:rsidRPr="00FD6BA7">
        <w:rPr>
          <w:rFonts w:ascii="Arial" w:hAnsi="Arial" w:cs="Arial"/>
          <w:sz w:val="22"/>
          <w:szCs w:val="22"/>
        </w:rPr>
        <w:t>descumprir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as condições desta Ata de</w:t>
      </w:r>
      <w:r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</w:t>
      </w:r>
      <w:proofErr w:type="gramStart"/>
      <w:r w:rsidRPr="00FD6BA7">
        <w:rPr>
          <w:rFonts w:ascii="Arial" w:hAnsi="Arial" w:cs="Arial"/>
          <w:sz w:val="22"/>
          <w:szCs w:val="22"/>
        </w:rPr>
        <w:t>recusar-se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a firmar contrato com os participantes do SRP, no prazo estabelecido pela Administração, sem justificativa aceitável.  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V. Nos casos em que o detentor do registro de preços </w:t>
      </w:r>
      <w:proofErr w:type="gramStart"/>
      <w:r w:rsidRPr="00FD6BA7">
        <w:rPr>
          <w:rFonts w:ascii="Arial" w:hAnsi="Arial" w:cs="Arial"/>
          <w:sz w:val="22"/>
          <w:szCs w:val="22"/>
        </w:rPr>
        <w:t>ficar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impedido ou for declarado inidôneo para licitar ou contratar com a Administração.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BF17C9" w:rsidRPr="007816D1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7816D1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DÉCIMA - DAS CONDIÇÕES PARA A AQUISIÇÃO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 xml:space="preserve">, emitida no Sistema de Registro </w:t>
      </w:r>
      <w:proofErr w:type="gramStart"/>
      <w:r w:rsidRPr="00FD6BA7">
        <w:rPr>
          <w:rFonts w:ascii="Arial" w:hAnsi="Arial" w:cs="Arial"/>
          <w:sz w:val="22"/>
          <w:szCs w:val="22"/>
        </w:rPr>
        <w:t>de</w:t>
      </w:r>
      <w:proofErr w:type="gramEnd"/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707674" w:rsidRDefault="00BF17C9" w:rsidP="00BF17C9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lastRenderedPageBreak/>
        <w:t xml:space="preserve">ÓRGÃO GESTOR DO REGISTRO DE PREÇOS: </w:t>
      </w:r>
      <w:r w:rsidR="00E94DF7">
        <w:rPr>
          <w:rFonts w:ascii="Arial" w:hAnsi="Arial" w:cs="Arial"/>
          <w:b/>
          <w:sz w:val="22"/>
          <w:szCs w:val="22"/>
        </w:rPr>
        <w:t>SECRETARIA MUNICIPAL DE ADMINISTRAÇÃO</w:t>
      </w:r>
    </w:p>
    <w:p w:rsidR="00BF17C9" w:rsidRPr="00707674" w:rsidRDefault="00BF17C9" w:rsidP="00BF17C9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Nome do Representante:</w:t>
      </w:r>
      <w:r w:rsidR="00E94DF7">
        <w:rPr>
          <w:rFonts w:ascii="Arial" w:hAnsi="Arial" w:cs="Arial"/>
          <w:b/>
          <w:sz w:val="22"/>
          <w:szCs w:val="22"/>
        </w:rPr>
        <w:t xml:space="preserve"> ALEAMIR BIAZUSSI</w:t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BF17C9" w:rsidRDefault="00BF17C9" w:rsidP="00BF17C9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 w:rsidR="00E94DF7">
        <w:rPr>
          <w:rFonts w:ascii="Arial" w:hAnsi="Arial" w:cs="Arial"/>
          <w:b/>
          <w:sz w:val="22"/>
          <w:szCs w:val="22"/>
        </w:rPr>
        <w:t>SECRETÁRIO DE ADMINISTRAÇÃO</w:t>
      </w:r>
    </w:p>
    <w:p w:rsidR="00E94DF7" w:rsidRDefault="00E94DF7" w:rsidP="00BF17C9">
      <w:pPr>
        <w:rPr>
          <w:rFonts w:ascii="Arial" w:hAnsi="Arial" w:cs="Arial"/>
          <w:b/>
          <w:sz w:val="22"/>
          <w:szCs w:val="22"/>
        </w:rPr>
      </w:pPr>
    </w:p>
    <w:p w:rsidR="00E94DF7" w:rsidRDefault="00E94DF7" w:rsidP="00E94DF7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ÓRGÃO GESTOR DO REGISTRO DE PREÇOS: </w:t>
      </w:r>
      <w:r>
        <w:rPr>
          <w:rFonts w:ascii="Arial" w:hAnsi="Arial" w:cs="Arial"/>
          <w:b/>
          <w:sz w:val="22"/>
          <w:szCs w:val="22"/>
        </w:rPr>
        <w:t xml:space="preserve">SECRETARIA MUNICIPAL </w:t>
      </w:r>
      <w:r>
        <w:rPr>
          <w:rFonts w:ascii="Arial" w:hAnsi="Arial" w:cs="Arial"/>
          <w:b/>
          <w:sz w:val="22"/>
          <w:szCs w:val="22"/>
        </w:rPr>
        <w:t xml:space="preserve">EDUCAÇÃO, ESPORTE, CULTURA E </w:t>
      </w:r>
      <w:proofErr w:type="gramStart"/>
      <w:r>
        <w:rPr>
          <w:rFonts w:ascii="Arial" w:hAnsi="Arial" w:cs="Arial"/>
          <w:b/>
          <w:sz w:val="22"/>
          <w:szCs w:val="22"/>
        </w:rPr>
        <w:t>LAZER</w:t>
      </w:r>
      <w:proofErr w:type="gramEnd"/>
    </w:p>
    <w:p w:rsidR="00E94DF7" w:rsidRDefault="00E94DF7" w:rsidP="00E94D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 DE ESPORTE</w:t>
      </w:r>
    </w:p>
    <w:p w:rsidR="00E94DF7" w:rsidRPr="00707674" w:rsidRDefault="00E94DF7" w:rsidP="00E94DF7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Nome do Representante: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SERGIO ALVES DE OLIVEIRA</w:t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E94DF7" w:rsidRDefault="00E94DF7" w:rsidP="00E94DF7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>
        <w:rPr>
          <w:rFonts w:ascii="Arial" w:hAnsi="Arial" w:cs="Arial"/>
          <w:b/>
          <w:sz w:val="22"/>
          <w:szCs w:val="22"/>
        </w:rPr>
        <w:t>DIRETOR DEPARTAMENTO DE ESPORTE</w:t>
      </w:r>
    </w:p>
    <w:p w:rsidR="00E94DF7" w:rsidRDefault="00E94DF7" w:rsidP="00E94DF7">
      <w:pPr>
        <w:rPr>
          <w:rFonts w:ascii="Arial" w:hAnsi="Arial" w:cs="Arial"/>
          <w:b/>
          <w:sz w:val="22"/>
          <w:szCs w:val="22"/>
        </w:rPr>
      </w:pPr>
    </w:p>
    <w:p w:rsidR="00E94DF7" w:rsidRDefault="00E94DF7" w:rsidP="00E94DF7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ÓRGÃO GESTOR DO REGISTRO DE PREÇOS: </w:t>
      </w:r>
      <w:r>
        <w:rPr>
          <w:rFonts w:ascii="Arial" w:hAnsi="Arial" w:cs="Arial"/>
          <w:b/>
          <w:sz w:val="22"/>
          <w:szCs w:val="22"/>
        </w:rPr>
        <w:t>FUNDO MUNICIPAL DE CULTURA</w:t>
      </w:r>
    </w:p>
    <w:p w:rsidR="00E94DF7" w:rsidRPr="00707674" w:rsidRDefault="00E94DF7" w:rsidP="00E94DF7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Nome do Representante: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ROBERTO JUNIOR TAVARES</w:t>
      </w:r>
    </w:p>
    <w:p w:rsidR="00E94DF7" w:rsidRDefault="00E94DF7" w:rsidP="00E94DF7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>
        <w:rPr>
          <w:rFonts w:ascii="Arial" w:hAnsi="Arial" w:cs="Arial"/>
          <w:b/>
          <w:sz w:val="22"/>
          <w:szCs w:val="22"/>
        </w:rPr>
        <w:t>DIRETOR DE CULTURA</w:t>
      </w:r>
    </w:p>
    <w:p w:rsidR="00E94DF7" w:rsidRPr="00707674" w:rsidRDefault="00E94DF7" w:rsidP="00BF17C9">
      <w:pPr>
        <w:rPr>
          <w:rFonts w:ascii="Arial" w:hAnsi="Arial" w:cs="Arial"/>
          <w:b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>
        <w:rPr>
          <w:rFonts w:ascii="Arial" w:hAnsi="Arial" w:cs="Arial"/>
          <w:sz w:val="22"/>
          <w:szCs w:val="22"/>
        </w:rPr>
        <w:t>046/</w:t>
      </w:r>
      <w:r w:rsidRPr="00FD6BA7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>
        <w:rPr>
          <w:rFonts w:ascii="Arial" w:hAnsi="Arial" w:cs="Arial"/>
          <w:sz w:val="22"/>
          <w:szCs w:val="22"/>
        </w:rPr>
        <w:t xml:space="preserve">rá, com a prévia autorização </w:t>
      </w:r>
      <w:proofErr w:type="gramStart"/>
      <w:r>
        <w:rPr>
          <w:rFonts w:ascii="Arial" w:hAnsi="Arial" w:cs="Arial"/>
          <w:sz w:val="22"/>
          <w:szCs w:val="22"/>
        </w:rPr>
        <w:t xml:space="preserve">do </w:t>
      </w:r>
      <w:r w:rsidRPr="00FD6BA7">
        <w:rPr>
          <w:rFonts w:ascii="Arial" w:hAnsi="Arial" w:cs="Arial"/>
          <w:sz w:val="22"/>
          <w:szCs w:val="22"/>
        </w:rPr>
        <w:t>Órgão Gestor convidar</w:t>
      </w:r>
      <w:proofErr w:type="gramEnd"/>
      <w:r w:rsidRPr="00FD6BA7">
        <w:rPr>
          <w:rFonts w:ascii="Arial" w:hAnsi="Arial" w:cs="Arial"/>
          <w:sz w:val="22"/>
          <w:szCs w:val="22"/>
        </w:rPr>
        <w:t>, sucessivamente, por ordem de classificação, os demais licitantes, os quais ficarão sujeitos às mesmas condições previstas para o primeiro classificado.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BF17C9" w:rsidRDefault="00BF17C9" w:rsidP="00BF17C9">
      <w:pPr>
        <w:jc w:val="both"/>
        <w:rPr>
          <w:rFonts w:ascii="Arial" w:hAnsi="Arial" w:cs="Arial"/>
          <w:b/>
          <w:sz w:val="22"/>
          <w:szCs w:val="22"/>
        </w:rPr>
      </w:pPr>
    </w:p>
    <w:p w:rsidR="00BF17C9" w:rsidRPr="00460955" w:rsidRDefault="00BF17C9" w:rsidP="00BF17C9">
      <w:pPr>
        <w:jc w:val="both"/>
        <w:rPr>
          <w:rFonts w:ascii="Arial" w:hAnsi="Arial" w:cs="Arial"/>
          <w:b/>
          <w:sz w:val="22"/>
          <w:szCs w:val="22"/>
        </w:rPr>
      </w:pPr>
    </w:p>
    <w:p w:rsidR="00BF17C9" w:rsidRPr="00460955" w:rsidRDefault="00BF17C9" w:rsidP="00BF17C9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>
        <w:rPr>
          <w:rFonts w:ascii="Arial" w:hAnsi="Arial" w:cs="Arial"/>
          <w:sz w:val="22"/>
          <w:szCs w:val="22"/>
        </w:rPr>
        <w:t xml:space="preserve">o </w:t>
      </w:r>
      <w:proofErr w:type="gramStart"/>
      <w:r>
        <w:rPr>
          <w:rFonts w:ascii="Arial" w:hAnsi="Arial" w:cs="Arial"/>
          <w:sz w:val="22"/>
          <w:szCs w:val="22"/>
        </w:rPr>
        <w:t>definidas</w:t>
      </w:r>
      <w:proofErr w:type="gramEnd"/>
      <w:r>
        <w:rPr>
          <w:rFonts w:ascii="Arial" w:hAnsi="Arial" w:cs="Arial"/>
          <w:sz w:val="22"/>
          <w:szCs w:val="22"/>
        </w:rPr>
        <w:t xml:space="preserve">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460955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>
        <w:rPr>
          <w:rFonts w:ascii="Arial" w:hAnsi="Arial" w:cs="Arial"/>
          <w:sz w:val="22"/>
          <w:szCs w:val="22"/>
        </w:rPr>
        <w:t xml:space="preserve">ro de Preços correrão à conta das seguintes dotações orçamentárias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BF17C9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Pr="00FD6BA7">
        <w:rPr>
          <w:rFonts w:ascii="Arial" w:hAnsi="Arial" w:cs="Arial"/>
          <w:sz w:val="22"/>
          <w:szCs w:val="22"/>
        </w:rPr>
        <w:t xml:space="preserve"> </w:t>
      </w:r>
    </w:p>
    <w:p w:rsidR="00E94DF7" w:rsidRDefault="00E94DF7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E94DF7" w:rsidRPr="00B42773" w:rsidRDefault="00E94DF7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F17C9" w:rsidRPr="007857B4" w:rsidRDefault="00BF17C9" w:rsidP="00BF17C9">
      <w:pPr>
        <w:ind w:left="1418" w:right="-285"/>
        <w:jc w:val="both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X="82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F17C9" w:rsidRPr="00812E23" w:rsidTr="00293447">
        <w:trPr>
          <w:trHeight w:val="699"/>
        </w:trPr>
        <w:tc>
          <w:tcPr>
            <w:tcW w:w="8720" w:type="dxa"/>
            <w:shd w:val="clear" w:color="auto" w:fill="auto"/>
          </w:tcPr>
          <w:p w:rsidR="00BF17C9" w:rsidRPr="00812E23" w:rsidRDefault="00BF17C9" w:rsidP="00293447">
            <w:pPr>
              <w:widowControl w:val="0"/>
              <w:tabs>
                <w:tab w:val="left" w:pos="1134"/>
                <w:tab w:val="left" w:pos="1701"/>
                <w:tab w:val="left" w:pos="2127"/>
              </w:tabs>
              <w:jc w:val="both"/>
              <w:rPr>
                <w:bCs/>
                <w:iCs/>
              </w:rPr>
            </w:pPr>
            <w:proofErr w:type="gramStart"/>
            <w:r w:rsidRPr="00812E23">
              <w:rPr>
                <w:bCs/>
                <w:iCs/>
              </w:rPr>
              <w:lastRenderedPageBreak/>
              <w:t>14.01 – FUNDO</w:t>
            </w:r>
            <w:proofErr w:type="gramEnd"/>
            <w:r w:rsidRPr="00812E23">
              <w:rPr>
                <w:bCs/>
                <w:iCs/>
              </w:rPr>
              <w:t xml:space="preserve"> MUNICIPAL DE CULTURA</w:t>
            </w:r>
          </w:p>
          <w:p w:rsidR="00BF17C9" w:rsidRPr="00812E23" w:rsidRDefault="00BF17C9" w:rsidP="00293447">
            <w:pPr>
              <w:widowControl w:val="0"/>
              <w:tabs>
                <w:tab w:val="left" w:pos="1134"/>
                <w:tab w:val="left" w:pos="1701"/>
                <w:tab w:val="left" w:pos="2127"/>
              </w:tabs>
              <w:jc w:val="both"/>
              <w:rPr>
                <w:bCs/>
                <w:iCs/>
              </w:rPr>
            </w:pPr>
            <w:r w:rsidRPr="00812E23">
              <w:rPr>
                <w:bCs/>
                <w:iCs/>
              </w:rPr>
              <w:t xml:space="preserve">2.046 – </w:t>
            </w:r>
            <w:proofErr w:type="gramStart"/>
            <w:r w:rsidRPr="00812E23">
              <w:rPr>
                <w:bCs/>
                <w:iCs/>
              </w:rPr>
              <w:t>INCENTIVO</w:t>
            </w:r>
            <w:proofErr w:type="gramEnd"/>
            <w:r w:rsidRPr="00812E23">
              <w:rPr>
                <w:bCs/>
                <w:iCs/>
              </w:rPr>
              <w:t xml:space="preserve"> AS ATIVIDADES CULTURAIS                        </w:t>
            </w:r>
          </w:p>
          <w:p w:rsidR="00BF17C9" w:rsidRPr="007857B4" w:rsidRDefault="00BF17C9" w:rsidP="00293447">
            <w:pPr>
              <w:pStyle w:val="Corpodetexto"/>
              <w:widowControl w:val="0"/>
              <w:tabs>
                <w:tab w:val="left" w:pos="1134"/>
                <w:tab w:val="left" w:pos="1701"/>
                <w:tab w:val="left" w:pos="2127"/>
              </w:tabs>
              <w:rPr>
                <w:iCs/>
              </w:rPr>
            </w:pPr>
            <w:r w:rsidRPr="007857B4">
              <w:rPr>
                <w:iCs/>
              </w:rPr>
              <w:t xml:space="preserve">3.3.90.39 – 100 OUTROS SERVIÇOS DE TERCEIRO – PESSOA JUR </w:t>
            </w:r>
          </w:p>
          <w:p w:rsidR="00BF17C9" w:rsidRPr="00812E23" w:rsidRDefault="00BF17C9" w:rsidP="00293447">
            <w:pPr>
              <w:pStyle w:val="Corpodetexto"/>
              <w:widowControl w:val="0"/>
              <w:tabs>
                <w:tab w:val="left" w:pos="1134"/>
                <w:tab w:val="left" w:pos="1701"/>
                <w:tab w:val="left" w:pos="2127"/>
              </w:tabs>
              <w:rPr>
                <w:b/>
                <w:iCs/>
              </w:rPr>
            </w:pPr>
            <w:r w:rsidRPr="007857B4">
              <w:rPr>
                <w:iCs/>
              </w:rPr>
              <w:t xml:space="preserve">Ficha 006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F17C9" w:rsidRPr="00812E23" w:rsidRDefault="00BF17C9" w:rsidP="00BF17C9">
      <w:pPr>
        <w:tabs>
          <w:tab w:val="left" w:pos="1134"/>
        </w:tabs>
        <w:jc w:val="both"/>
        <w:rPr>
          <w:bCs/>
        </w:rPr>
      </w:pPr>
    </w:p>
    <w:p w:rsidR="00BF17C9" w:rsidRPr="00812E23" w:rsidRDefault="00BF17C9" w:rsidP="00BF17C9">
      <w:pPr>
        <w:tabs>
          <w:tab w:val="left" w:pos="1134"/>
        </w:tabs>
        <w:jc w:val="both"/>
        <w:rPr>
          <w:bCs/>
        </w:rPr>
      </w:pPr>
    </w:p>
    <w:p w:rsidR="00BF17C9" w:rsidRPr="00812E23" w:rsidRDefault="00BF17C9" w:rsidP="00BF17C9">
      <w:pPr>
        <w:tabs>
          <w:tab w:val="left" w:pos="1134"/>
        </w:tabs>
        <w:jc w:val="both"/>
        <w:rPr>
          <w:bCs/>
        </w:rPr>
      </w:pPr>
    </w:p>
    <w:p w:rsidR="00BF17C9" w:rsidRPr="00812E23" w:rsidRDefault="00BF17C9" w:rsidP="00BF17C9">
      <w:pPr>
        <w:tabs>
          <w:tab w:val="left" w:pos="1134"/>
        </w:tabs>
        <w:jc w:val="both"/>
        <w:rPr>
          <w:bCs/>
        </w:rPr>
      </w:pPr>
    </w:p>
    <w:p w:rsidR="00BF17C9" w:rsidRDefault="00BF17C9" w:rsidP="00BF17C9">
      <w:pPr>
        <w:tabs>
          <w:tab w:val="left" w:pos="1134"/>
        </w:tabs>
        <w:jc w:val="both"/>
        <w:rPr>
          <w:bCs/>
        </w:rPr>
      </w:pPr>
    </w:p>
    <w:p w:rsidR="00BF17C9" w:rsidRPr="00812E23" w:rsidRDefault="00BF17C9" w:rsidP="00BF17C9">
      <w:pPr>
        <w:tabs>
          <w:tab w:val="left" w:pos="1134"/>
        </w:tabs>
        <w:jc w:val="both"/>
        <w:rPr>
          <w:bCs/>
        </w:rPr>
      </w:pPr>
    </w:p>
    <w:tbl>
      <w:tblPr>
        <w:tblpPr w:leftFromText="141" w:rightFromText="141" w:vertAnchor="text" w:horzAnchor="margin" w:tblpX="82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F17C9" w:rsidRPr="00812E23" w:rsidTr="00293447">
        <w:trPr>
          <w:trHeight w:val="699"/>
        </w:trPr>
        <w:tc>
          <w:tcPr>
            <w:tcW w:w="8928" w:type="dxa"/>
            <w:shd w:val="clear" w:color="auto" w:fill="auto"/>
          </w:tcPr>
          <w:p w:rsidR="00BF17C9" w:rsidRPr="00812E23" w:rsidRDefault="00BF17C9" w:rsidP="00293447">
            <w:pPr>
              <w:widowControl w:val="0"/>
              <w:tabs>
                <w:tab w:val="left" w:pos="1134"/>
                <w:tab w:val="left" w:pos="1701"/>
                <w:tab w:val="left" w:pos="2127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04.01 – SEC. MUN. DE ADMINISTRAÇÃO</w:t>
            </w:r>
          </w:p>
          <w:p w:rsidR="00BF17C9" w:rsidRPr="00812E23" w:rsidRDefault="00BF17C9" w:rsidP="00293447">
            <w:pPr>
              <w:widowControl w:val="0"/>
              <w:tabs>
                <w:tab w:val="left" w:pos="1134"/>
                <w:tab w:val="left" w:pos="1701"/>
                <w:tab w:val="left" w:pos="2127"/>
              </w:tabs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2.006</w:t>
            </w:r>
            <w:r w:rsidRPr="00812E23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– GESTÃO</w:t>
            </w:r>
            <w:proofErr w:type="gramEnd"/>
            <w:r>
              <w:rPr>
                <w:bCs/>
                <w:iCs/>
              </w:rPr>
              <w:t xml:space="preserve"> DAS ATIVIDADES ADMINISTRATIVAS</w:t>
            </w:r>
            <w:r w:rsidRPr="00812E23">
              <w:rPr>
                <w:bCs/>
                <w:iCs/>
              </w:rPr>
              <w:t xml:space="preserve">                </w:t>
            </w:r>
          </w:p>
          <w:p w:rsidR="00BF17C9" w:rsidRPr="007857B4" w:rsidRDefault="00BF17C9" w:rsidP="00293447">
            <w:pPr>
              <w:pStyle w:val="Corpodetexto"/>
              <w:widowControl w:val="0"/>
              <w:tabs>
                <w:tab w:val="left" w:pos="1134"/>
                <w:tab w:val="left" w:pos="1701"/>
                <w:tab w:val="left" w:pos="2127"/>
              </w:tabs>
              <w:rPr>
                <w:iCs/>
              </w:rPr>
            </w:pPr>
            <w:r w:rsidRPr="007857B4">
              <w:rPr>
                <w:iCs/>
              </w:rPr>
              <w:t xml:space="preserve">3.3.90.39. – </w:t>
            </w:r>
            <w:proofErr w:type="gramStart"/>
            <w:r w:rsidRPr="007857B4">
              <w:rPr>
                <w:iCs/>
              </w:rPr>
              <w:t>100 OUTROS SERVIÇOS DE TERCEIROS – PESSOA JURÍDICA</w:t>
            </w:r>
            <w:proofErr w:type="gramEnd"/>
          </w:p>
          <w:p w:rsidR="00BF17C9" w:rsidRPr="00812E23" w:rsidRDefault="00BF17C9" w:rsidP="00293447">
            <w:pPr>
              <w:pStyle w:val="Corpodetexto"/>
              <w:widowControl w:val="0"/>
              <w:tabs>
                <w:tab w:val="left" w:pos="1134"/>
                <w:tab w:val="left" w:pos="1701"/>
                <w:tab w:val="left" w:pos="2127"/>
              </w:tabs>
              <w:rPr>
                <w:b/>
                <w:iCs/>
              </w:rPr>
            </w:pPr>
            <w:r w:rsidRPr="007857B4">
              <w:rPr>
                <w:iCs/>
              </w:rPr>
              <w:t xml:space="preserve">Ficha 014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F17C9" w:rsidRDefault="00BF17C9" w:rsidP="00BF17C9">
      <w:pPr>
        <w:pStyle w:val="NormalWeb"/>
        <w:spacing w:before="0" w:beforeAutospacing="0" w:after="0" w:afterAutospacing="0"/>
        <w:jc w:val="both"/>
      </w:pPr>
      <w:r w:rsidRPr="00086A6E">
        <w:t xml:space="preserve"> </w:t>
      </w:r>
    </w:p>
    <w:p w:rsidR="00BF17C9" w:rsidRPr="00086A6E" w:rsidRDefault="00BF17C9" w:rsidP="00BF17C9">
      <w:pPr>
        <w:pStyle w:val="NormalWeb"/>
        <w:spacing w:before="0" w:beforeAutospacing="0" w:after="0" w:afterAutospacing="0"/>
        <w:jc w:val="both"/>
      </w:pPr>
    </w:p>
    <w:p w:rsidR="00BF17C9" w:rsidRPr="00086A6E" w:rsidRDefault="00BF17C9" w:rsidP="00BF17C9">
      <w:pPr>
        <w:jc w:val="both"/>
        <w:rPr>
          <w:sz w:val="24"/>
          <w:szCs w:val="24"/>
        </w:rPr>
      </w:pPr>
    </w:p>
    <w:p w:rsidR="00BF17C9" w:rsidRPr="00086A6E" w:rsidRDefault="00BF17C9" w:rsidP="00BF17C9">
      <w:pPr>
        <w:jc w:val="both"/>
        <w:rPr>
          <w:sz w:val="24"/>
          <w:szCs w:val="24"/>
        </w:rPr>
      </w:pPr>
    </w:p>
    <w:p w:rsidR="00BF17C9" w:rsidRPr="00086A6E" w:rsidRDefault="00BF17C9" w:rsidP="00BF17C9">
      <w:pPr>
        <w:pStyle w:val="NormalWeb"/>
        <w:spacing w:before="0" w:beforeAutospacing="0" w:after="0" w:afterAutospacing="0"/>
        <w:jc w:val="both"/>
      </w:pPr>
    </w:p>
    <w:tbl>
      <w:tblPr>
        <w:tblpPr w:leftFromText="141" w:rightFromText="141" w:vertAnchor="text" w:horzAnchor="margin" w:tblpX="82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F17C9" w:rsidRPr="00812E23" w:rsidTr="00293447">
        <w:trPr>
          <w:trHeight w:val="699"/>
        </w:trPr>
        <w:tc>
          <w:tcPr>
            <w:tcW w:w="8720" w:type="dxa"/>
            <w:shd w:val="clear" w:color="auto" w:fill="auto"/>
          </w:tcPr>
          <w:p w:rsidR="00E94DF7" w:rsidRDefault="00E94DF7" w:rsidP="00293447">
            <w:pPr>
              <w:widowControl w:val="0"/>
              <w:tabs>
                <w:tab w:val="left" w:pos="1134"/>
                <w:tab w:val="left" w:pos="1701"/>
                <w:tab w:val="left" w:pos="2127"/>
              </w:tabs>
              <w:jc w:val="both"/>
              <w:rPr>
                <w:bCs/>
                <w:iCs/>
              </w:rPr>
            </w:pPr>
          </w:p>
          <w:p w:rsidR="00BF17C9" w:rsidRPr="00812E23" w:rsidRDefault="00BF17C9" w:rsidP="00293447">
            <w:pPr>
              <w:widowControl w:val="0"/>
              <w:tabs>
                <w:tab w:val="left" w:pos="1134"/>
                <w:tab w:val="left" w:pos="1701"/>
                <w:tab w:val="left" w:pos="2127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06.01 – SEC. MUN. DE EDUCAÇÃO, ESPORTE, CULTURA E </w:t>
            </w:r>
            <w:proofErr w:type="gramStart"/>
            <w:r>
              <w:rPr>
                <w:bCs/>
                <w:iCs/>
              </w:rPr>
              <w:t>LAZER</w:t>
            </w:r>
            <w:proofErr w:type="gramEnd"/>
          </w:p>
          <w:p w:rsidR="00BF17C9" w:rsidRPr="00812E23" w:rsidRDefault="00BF17C9" w:rsidP="00293447">
            <w:pPr>
              <w:widowControl w:val="0"/>
              <w:tabs>
                <w:tab w:val="left" w:pos="1134"/>
                <w:tab w:val="left" w:pos="1701"/>
                <w:tab w:val="left" w:pos="2127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2.047</w:t>
            </w:r>
            <w:r w:rsidRPr="00812E23">
              <w:rPr>
                <w:bCs/>
                <w:iCs/>
              </w:rPr>
              <w:t xml:space="preserve"> – </w:t>
            </w:r>
            <w:proofErr w:type="gramStart"/>
            <w:r w:rsidRPr="00812E23">
              <w:rPr>
                <w:bCs/>
                <w:iCs/>
              </w:rPr>
              <w:t>I</w:t>
            </w:r>
            <w:r>
              <w:rPr>
                <w:bCs/>
                <w:iCs/>
              </w:rPr>
              <w:t>NCENTIVO</w:t>
            </w:r>
            <w:proofErr w:type="gramEnd"/>
            <w:r>
              <w:rPr>
                <w:bCs/>
                <w:iCs/>
              </w:rPr>
              <w:t xml:space="preserve"> AS ATIVIDADES ESPORTIVAS</w:t>
            </w:r>
            <w:r w:rsidRPr="00812E23">
              <w:rPr>
                <w:bCs/>
                <w:iCs/>
              </w:rPr>
              <w:t xml:space="preserve">                        </w:t>
            </w:r>
          </w:p>
          <w:p w:rsidR="00BF17C9" w:rsidRPr="007857B4" w:rsidRDefault="00BF17C9" w:rsidP="00293447">
            <w:pPr>
              <w:pStyle w:val="Corpodetexto"/>
              <w:widowControl w:val="0"/>
              <w:tabs>
                <w:tab w:val="left" w:pos="1134"/>
                <w:tab w:val="left" w:pos="1701"/>
                <w:tab w:val="left" w:pos="2127"/>
              </w:tabs>
              <w:rPr>
                <w:iCs/>
              </w:rPr>
            </w:pPr>
            <w:r w:rsidRPr="007857B4">
              <w:rPr>
                <w:iCs/>
              </w:rPr>
              <w:t>3.3.90.39 – 100 OUTROS SERVIÇOS DE TERCEIRO – PESSOA JUR</w:t>
            </w:r>
            <w:r w:rsidR="00E94DF7">
              <w:rPr>
                <w:iCs/>
              </w:rPr>
              <w:t>IDICA</w:t>
            </w:r>
            <w:proofErr w:type="gramStart"/>
            <w:r w:rsidRPr="007857B4">
              <w:rPr>
                <w:iCs/>
              </w:rPr>
              <w:t xml:space="preserve">   </w:t>
            </w:r>
          </w:p>
          <w:p w:rsidR="00BF17C9" w:rsidRPr="00812E23" w:rsidRDefault="00BF17C9" w:rsidP="00293447">
            <w:pPr>
              <w:pStyle w:val="Corpodetexto"/>
              <w:widowControl w:val="0"/>
              <w:tabs>
                <w:tab w:val="left" w:pos="1134"/>
                <w:tab w:val="left" w:pos="1701"/>
                <w:tab w:val="left" w:pos="2127"/>
              </w:tabs>
              <w:rPr>
                <w:b/>
                <w:iCs/>
              </w:rPr>
            </w:pPr>
            <w:proofErr w:type="gramEnd"/>
            <w:r w:rsidRPr="007857B4">
              <w:rPr>
                <w:iCs/>
              </w:rPr>
              <w:t xml:space="preserve">Ficha 081                                                                         </w:t>
            </w:r>
          </w:p>
        </w:tc>
      </w:tr>
    </w:tbl>
    <w:p w:rsidR="00BF17C9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:rsidR="00BF17C9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:rsidR="00BF17C9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:rsidR="00BF17C9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:rsidR="00BF17C9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:rsidR="00BF17C9" w:rsidRPr="00DE430D" w:rsidRDefault="00BF17C9" w:rsidP="00BF17C9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:rsidR="00BF17C9" w:rsidRPr="00FD6BA7" w:rsidRDefault="00BF17C9" w:rsidP="00BF17C9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  <w:highlight w:val="yellow"/>
        </w:rPr>
      </w:pPr>
    </w:p>
    <w:p w:rsidR="00E94DF7" w:rsidRDefault="00E94DF7" w:rsidP="00BF17C9">
      <w:pPr>
        <w:jc w:val="both"/>
        <w:rPr>
          <w:rFonts w:ascii="Arial" w:hAnsi="Arial" w:cs="Arial"/>
          <w:sz w:val="22"/>
          <w:szCs w:val="22"/>
        </w:rPr>
      </w:pPr>
    </w:p>
    <w:p w:rsidR="00E94DF7" w:rsidRDefault="00E94DF7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Pr="00FB76DF">
        <w:rPr>
          <w:rFonts w:ascii="Arial" w:hAnsi="Arial" w:cs="Arial"/>
          <w:sz w:val="22"/>
          <w:szCs w:val="22"/>
        </w:rPr>
        <w:t>do cláusula 7</w:t>
      </w:r>
      <w:proofErr w:type="gramEnd"/>
      <w:r w:rsidRPr="00FB76DF">
        <w:rPr>
          <w:rFonts w:ascii="Arial" w:hAnsi="Arial" w:cs="Arial"/>
          <w:sz w:val="22"/>
          <w:szCs w:val="22"/>
        </w:rPr>
        <w:t xml:space="preserve"> do edital do Pregão Presencial 0</w:t>
      </w:r>
      <w:r>
        <w:rPr>
          <w:rFonts w:ascii="Arial" w:hAnsi="Arial" w:cs="Arial"/>
          <w:sz w:val="22"/>
          <w:szCs w:val="22"/>
        </w:rPr>
        <w:t>46</w:t>
      </w:r>
      <w:r w:rsidRPr="00FB76DF">
        <w:rPr>
          <w:rFonts w:ascii="Arial" w:hAnsi="Arial" w:cs="Arial"/>
          <w:sz w:val="22"/>
          <w:szCs w:val="22"/>
        </w:rPr>
        <w:t>/2016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460955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>
        <w:rPr>
          <w:rFonts w:ascii="Arial" w:hAnsi="Arial" w:cs="Arial"/>
          <w:sz w:val="22"/>
          <w:szCs w:val="22"/>
        </w:rPr>
        <w:t>0</w:t>
      </w:r>
      <w:r w:rsidR="00E94DF7">
        <w:rPr>
          <w:rFonts w:ascii="Arial" w:hAnsi="Arial" w:cs="Arial"/>
          <w:sz w:val="22"/>
          <w:szCs w:val="22"/>
        </w:rPr>
        <w:t>46</w:t>
      </w:r>
      <w:r w:rsidRPr="00FD6BA7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VII - fizer declaração falsa; </w:t>
      </w:r>
      <w:proofErr w:type="gramStart"/>
      <w:r w:rsidRPr="00FD6BA7">
        <w:rPr>
          <w:rFonts w:ascii="Arial" w:hAnsi="Arial" w:cs="Arial"/>
          <w:sz w:val="22"/>
          <w:szCs w:val="22"/>
        </w:rPr>
        <w:t>ou</w:t>
      </w:r>
      <w:proofErr w:type="gramEnd"/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13.2. Será aplicado </w:t>
      </w:r>
      <w:proofErr w:type="gramStart"/>
      <w:r w:rsidRPr="00FD6BA7">
        <w:rPr>
          <w:rFonts w:ascii="Arial" w:hAnsi="Arial" w:cs="Arial"/>
          <w:sz w:val="22"/>
          <w:szCs w:val="22"/>
        </w:rPr>
        <w:t>ao licitantes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beneficiários da Ata de Registro de Preço, caso este se recuse a executar o(s) objeto(s) a ele vinculado(s), dentro do prazo previsto, multa </w:t>
      </w:r>
      <w:r w:rsidRPr="00FD6BA7">
        <w:rPr>
          <w:rFonts w:ascii="Arial" w:hAnsi="Arial" w:cs="Arial"/>
          <w:sz w:val="22"/>
          <w:szCs w:val="22"/>
        </w:rPr>
        <w:lastRenderedPageBreak/>
        <w:t>correspondente a 0,33% (trinta e três centésimos por cento) por dia, calculada sobre o valor correspondente ao objeto não executado, até o limite de 10% (dez por cento) desse valor.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DE7AF4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QUARTA - DAS DISPOSIÇÕES FINAIS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</w:p>
    <w:p w:rsidR="00BF17C9" w:rsidRPr="00DE7AF4" w:rsidRDefault="00BF17C9" w:rsidP="00BF17C9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BF17C9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>
        <w:rPr>
          <w:rFonts w:ascii="Arial" w:hAnsi="Arial" w:cs="Arial"/>
          <w:sz w:val="22"/>
          <w:szCs w:val="22"/>
        </w:rPr>
        <w:t xml:space="preserve">das questões relacionadas com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 w:rsidRPr="00FD6BA7">
        <w:rPr>
          <w:rFonts w:ascii="Arial" w:hAnsi="Arial" w:cs="Arial"/>
          <w:sz w:val="22"/>
          <w:szCs w:val="22"/>
        </w:rPr>
        <w:t>presente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BF17C9" w:rsidRPr="00FD6BA7" w:rsidRDefault="00BF17C9" w:rsidP="00BF17C9">
      <w:pPr>
        <w:jc w:val="both"/>
        <w:rPr>
          <w:rFonts w:ascii="Arial" w:hAnsi="Arial" w:cs="Arial"/>
          <w:sz w:val="22"/>
          <w:szCs w:val="22"/>
        </w:rPr>
      </w:pPr>
    </w:p>
    <w:p w:rsidR="00BF17C9" w:rsidRPr="00FD6BA7" w:rsidRDefault="00BF17C9" w:rsidP="00BF17C9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BF17C9" w:rsidRPr="00FD6BA7" w:rsidRDefault="00BF17C9" w:rsidP="00BF17C9">
      <w:pPr>
        <w:rPr>
          <w:rFonts w:ascii="Arial" w:hAnsi="Arial" w:cs="Arial"/>
          <w:color w:val="000000"/>
        </w:rPr>
      </w:pPr>
    </w:p>
    <w:p w:rsidR="00BF17C9" w:rsidRPr="00FD6BA7" w:rsidRDefault="00BF17C9" w:rsidP="00BF17C9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BF17C9" w:rsidRDefault="00BF17C9" w:rsidP="00BF17C9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>
        <w:rPr>
          <w:rFonts w:ascii="Arial" w:hAnsi="Arial" w:cs="Arial"/>
          <w:color w:val="000000"/>
          <w:lang w:val="pt-PT"/>
        </w:rPr>
        <w:t xml:space="preserve">                   </w:t>
      </w:r>
      <w:r w:rsidRPr="00854C73">
        <w:rPr>
          <w:rFonts w:ascii="Arial" w:hAnsi="Arial" w:cs="Arial"/>
          <w:color w:val="000000"/>
          <w:lang w:val="pt-PT"/>
        </w:rPr>
        <w:t xml:space="preserve">         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Pr="00854C73">
        <w:rPr>
          <w:rFonts w:ascii="Arial" w:hAnsi="Arial" w:cs="Arial"/>
          <w:color w:val="000000"/>
          <w:lang w:val="pt-PT"/>
        </w:rPr>
        <w:t xml:space="preserve"> </w:t>
      </w:r>
      <w:r w:rsidR="00BA564C">
        <w:rPr>
          <w:rFonts w:ascii="Arial" w:hAnsi="Arial" w:cs="Arial"/>
          <w:color w:val="000000"/>
          <w:lang w:val="pt-PT"/>
        </w:rPr>
        <w:t>05</w:t>
      </w:r>
      <w:r>
        <w:rPr>
          <w:rFonts w:ascii="Arial" w:hAnsi="Arial" w:cs="Arial"/>
          <w:color w:val="000000"/>
          <w:lang w:val="pt-PT"/>
        </w:rPr>
        <w:t xml:space="preserve"> de </w:t>
      </w:r>
      <w:r w:rsidR="00BA564C">
        <w:rPr>
          <w:rFonts w:ascii="Arial" w:hAnsi="Arial" w:cs="Arial"/>
          <w:color w:val="000000"/>
          <w:lang w:val="pt-PT"/>
        </w:rPr>
        <w:t xml:space="preserve">maio </w:t>
      </w:r>
      <w:r>
        <w:rPr>
          <w:rFonts w:ascii="Arial" w:hAnsi="Arial" w:cs="Arial"/>
          <w:color w:val="000000"/>
          <w:lang w:val="pt-PT"/>
        </w:rPr>
        <w:t xml:space="preserve">de </w:t>
      </w:r>
      <w:r w:rsidRPr="00854C73">
        <w:rPr>
          <w:rFonts w:ascii="Arial" w:hAnsi="Arial" w:cs="Arial"/>
          <w:color w:val="000000"/>
          <w:lang w:val="pt-PT"/>
        </w:rPr>
        <w:t>201</w:t>
      </w:r>
      <w:r>
        <w:rPr>
          <w:rFonts w:ascii="Arial" w:hAnsi="Arial" w:cs="Arial"/>
          <w:color w:val="000000"/>
          <w:lang w:val="pt-PT"/>
        </w:rPr>
        <w:t>6</w:t>
      </w:r>
      <w:r w:rsidRPr="00854C73">
        <w:rPr>
          <w:rFonts w:ascii="Arial" w:hAnsi="Arial" w:cs="Arial"/>
          <w:color w:val="000000"/>
          <w:lang w:val="pt-PT"/>
        </w:rPr>
        <w:t>.</w:t>
      </w:r>
    </w:p>
    <w:p w:rsidR="00BF17C9" w:rsidRDefault="00BF17C9" w:rsidP="00BF17C9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BF17C9" w:rsidRDefault="00BF17C9" w:rsidP="00BF17C9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BF17C9" w:rsidRPr="002E76C3" w:rsidRDefault="00BF17C9" w:rsidP="00BF17C9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4644"/>
        <w:gridCol w:w="4538"/>
      </w:tblGrid>
      <w:tr w:rsidR="00BF17C9" w:rsidRPr="002E76C3" w:rsidTr="00293447">
        <w:tc>
          <w:tcPr>
            <w:tcW w:w="4644" w:type="dxa"/>
            <w:hideMark/>
          </w:tcPr>
          <w:p w:rsidR="00BF17C9" w:rsidRPr="002E76C3" w:rsidRDefault="00BF17C9" w:rsidP="00293447">
            <w:pPr>
              <w:ind w:right="-108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BF17C9" w:rsidRDefault="00BF17C9" w:rsidP="00293447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BF17C9" w:rsidRDefault="00BF17C9" w:rsidP="00293447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BF17C9" w:rsidRPr="002E76C3" w:rsidRDefault="00BF17C9" w:rsidP="00293447">
            <w:pPr>
              <w:jc w:val="center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4538" w:type="dxa"/>
            <w:hideMark/>
          </w:tcPr>
          <w:p w:rsidR="00BF17C9" w:rsidRPr="002E76C3" w:rsidRDefault="00BF17C9" w:rsidP="00293447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BA564C" w:rsidRDefault="00BA564C" w:rsidP="00293447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ODAIR JOSE SCARSO</w:t>
            </w:r>
          </w:p>
          <w:p w:rsidR="00BF17C9" w:rsidRPr="002E76C3" w:rsidRDefault="00BA564C" w:rsidP="00293447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/>
                <w:sz w:val="21"/>
                <w:szCs w:val="21"/>
              </w:rPr>
              <w:t xml:space="preserve">SOARES SEGURANÇA PRIVADA LTDA ME </w:t>
            </w:r>
            <w:bookmarkStart w:id="0" w:name="_GoBack"/>
            <w:bookmarkEnd w:id="0"/>
            <w:r>
              <w:rPr>
                <w:rFonts w:eastAsia="SimSun"/>
                <w:b/>
                <w:sz w:val="21"/>
                <w:szCs w:val="21"/>
              </w:rPr>
              <w:t>CONTRATADO</w:t>
            </w:r>
          </w:p>
        </w:tc>
      </w:tr>
      <w:tr w:rsidR="00BF17C9" w:rsidRPr="002E76C3" w:rsidTr="00293447">
        <w:tc>
          <w:tcPr>
            <w:tcW w:w="4644" w:type="dxa"/>
          </w:tcPr>
          <w:p w:rsidR="00BF17C9" w:rsidRDefault="00BF17C9" w:rsidP="00293447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BF17C9" w:rsidRDefault="00BF17C9" w:rsidP="00293447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BF17C9" w:rsidRDefault="00BF17C9" w:rsidP="00293447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BF17C9" w:rsidRDefault="00BF17C9" w:rsidP="00293447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BF17C9" w:rsidRDefault="00BF17C9" w:rsidP="00293447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BF17C9" w:rsidRPr="002E76C3" w:rsidRDefault="00BF17C9" w:rsidP="00293447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BF17C9" w:rsidRPr="002E76C3" w:rsidRDefault="00BF17C9" w:rsidP="00293447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BF17C9" w:rsidRPr="002E76C3" w:rsidTr="00293447">
        <w:tc>
          <w:tcPr>
            <w:tcW w:w="4644" w:type="dxa"/>
          </w:tcPr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BF17C9" w:rsidRPr="002E76C3" w:rsidTr="00293447">
        <w:tc>
          <w:tcPr>
            <w:tcW w:w="4644" w:type="dxa"/>
          </w:tcPr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BF17C9" w:rsidRPr="002E76C3" w:rsidRDefault="00BF17C9" w:rsidP="00293447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BF17C9" w:rsidRPr="002E76C3" w:rsidRDefault="00BF17C9" w:rsidP="00293447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BF17C9" w:rsidRPr="002E76C3" w:rsidRDefault="00BF17C9" w:rsidP="00293447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BF17C9" w:rsidRPr="002E76C3" w:rsidRDefault="00BF17C9" w:rsidP="00293447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BF17C9" w:rsidRPr="002E76C3" w:rsidRDefault="00BF17C9" w:rsidP="00293447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4D7626" w:rsidRPr="00FD6BA7" w:rsidRDefault="004D7626" w:rsidP="00BF17C9">
      <w:pPr>
        <w:rPr>
          <w:lang w:val="pt-PT"/>
        </w:rPr>
      </w:pPr>
    </w:p>
    <w:sectPr w:rsidR="004D7626" w:rsidRPr="00FD6BA7" w:rsidSect="003F05AA">
      <w:headerReference w:type="default" r:id="rId8"/>
      <w:foot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D5" w:rsidRDefault="002C09D5" w:rsidP="003F05AA">
      <w:r>
        <w:separator/>
      </w:r>
    </w:p>
  </w:endnote>
  <w:endnote w:type="continuationSeparator" w:id="0">
    <w:p w:rsidR="002C09D5" w:rsidRDefault="002C09D5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460955" w:rsidRDefault="00460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D5" w:rsidRDefault="002C09D5" w:rsidP="003F05AA">
      <w:r>
        <w:separator/>
      </w:r>
    </w:p>
  </w:footnote>
  <w:footnote w:type="continuationSeparator" w:id="0">
    <w:p w:rsidR="002C09D5" w:rsidRDefault="002C09D5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51BAE"/>
    <w:rsid w:val="0007157C"/>
    <w:rsid w:val="00074862"/>
    <w:rsid w:val="000856D6"/>
    <w:rsid w:val="000C08AF"/>
    <w:rsid w:val="000D5423"/>
    <w:rsid w:val="000F61F9"/>
    <w:rsid w:val="000F6570"/>
    <w:rsid w:val="001114B2"/>
    <w:rsid w:val="0012319A"/>
    <w:rsid w:val="00125C5B"/>
    <w:rsid w:val="00157C24"/>
    <w:rsid w:val="001A47EE"/>
    <w:rsid w:val="001D2B69"/>
    <w:rsid w:val="001D3E74"/>
    <w:rsid w:val="001D49BC"/>
    <w:rsid w:val="002002C6"/>
    <w:rsid w:val="002043B8"/>
    <w:rsid w:val="00237A3F"/>
    <w:rsid w:val="00281376"/>
    <w:rsid w:val="002B629A"/>
    <w:rsid w:val="002C09D5"/>
    <w:rsid w:val="002E76C3"/>
    <w:rsid w:val="0030794C"/>
    <w:rsid w:val="00330549"/>
    <w:rsid w:val="00350AC1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04DF2"/>
    <w:rsid w:val="00411FEF"/>
    <w:rsid w:val="00444290"/>
    <w:rsid w:val="00460955"/>
    <w:rsid w:val="00460CC6"/>
    <w:rsid w:val="004D7201"/>
    <w:rsid w:val="004D7626"/>
    <w:rsid w:val="00512804"/>
    <w:rsid w:val="0051688F"/>
    <w:rsid w:val="00521CA7"/>
    <w:rsid w:val="0054056D"/>
    <w:rsid w:val="00557FEC"/>
    <w:rsid w:val="00573D5F"/>
    <w:rsid w:val="005A52B8"/>
    <w:rsid w:val="005A7BCA"/>
    <w:rsid w:val="005B4C7F"/>
    <w:rsid w:val="005E0969"/>
    <w:rsid w:val="00625FBB"/>
    <w:rsid w:val="0063027E"/>
    <w:rsid w:val="00630E38"/>
    <w:rsid w:val="006421EE"/>
    <w:rsid w:val="006473E4"/>
    <w:rsid w:val="0064750C"/>
    <w:rsid w:val="006639ED"/>
    <w:rsid w:val="006D1152"/>
    <w:rsid w:val="007056BE"/>
    <w:rsid w:val="00707674"/>
    <w:rsid w:val="00710231"/>
    <w:rsid w:val="0072399B"/>
    <w:rsid w:val="00727ABF"/>
    <w:rsid w:val="0073328E"/>
    <w:rsid w:val="00747BB1"/>
    <w:rsid w:val="007640DD"/>
    <w:rsid w:val="007816D1"/>
    <w:rsid w:val="00795F45"/>
    <w:rsid w:val="007E557E"/>
    <w:rsid w:val="007F5772"/>
    <w:rsid w:val="008056AE"/>
    <w:rsid w:val="00826724"/>
    <w:rsid w:val="00827985"/>
    <w:rsid w:val="00841CCB"/>
    <w:rsid w:val="00841DE7"/>
    <w:rsid w:val="00846411"/>
    <w:rsid w:val="00854C73"/>
    <w:rsid w:val="008621A5"/>
    <w:rsid w:val="008873B7"/>
    <w:rsid w:val="008A28D1"/>
    <w:rsid w:val="008B5773"/>
    <w:rsid w:val="008F2A0E"/>
    <w:rsid w:val="00900712"/>
    <w:rsid w:val="00906D3D"/>
    <w:rsid w:val="009209D7"/>
    <w:rsid w:val="0093017D"/>
    <w:rsid w:val="0095370B"/>
    <w:rsid w:val="00960B95"/>
    <w:rsid w:val="0096278C"/>
    <w:rsid w:val="00980C93"/>
    <w:rsid w:val="009A56AB"/>
    <w:rsid w:val="009A7870"/>
    <w:rsid w:val="009B1D4F"/>
    <w:rsid w:val="009E5A45"/>
    <w:rsid w:val="009F3552"/>
    <w:rsid w:val="009F6189"/>
    <w:rsid w:val="00A0044E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4C"/>
    <w:rsid w:val="00BA56A0"/>
    <w:rsid w:val="00BD5589"/>
    <w:rsid w:val="00BF17C9"/>
    <w:rsid w:val="00C000A3"/>
    <w:rsid w:val="00C06318"/>
    <w:rsid w:val="00C27DE9"/>
    <w:rsid w:val="00C30187"/>
    <w:rsid w:val="00C53252"/>
    <w:rsid w:val="00C92F01"/>
    <w:rsid w:val="00CC076E"/>
    <w:rsid w:val="00CC4C92"/>
    <w:rsid w:val="00D02DB8"/>
    <w:rsid w:val="00D3479F"/>
    <w:rsid w:val="00D63520"/>
    <w:rsid w:val="00D65A9F"/>
    <w:rsid w:val="00DA33B9"/>
    <w:rsid w:val="00DB168C"/>
    <w:rsid w:val="00DE1773"/>
    <w:rsid w:val="00DE430D"/>
    <w:rsid w:val="00DE7AF4"/>
    <w:rsid w:val="00DF0A79"/>
    <w:rsid w:val="00DF46FE"/>
    <w:rsid w:val="00E039A8"/>
    <w:rsid w:val="00E066AC"/>
    <w:rsid w:val="00E31E45"/>
    <w:rsid w:val="00E4643B"/>
    <w:rsid w:val="00E70555"/>
    <w:rsid w:val="00E939F8"/>
    <w:rsid w:val="00E94DF7"/>
    <w:rsid w:val="00EA4DC8"/>
    <w:rsid w:val="00EB7703"/>
    <w:rsid w:val="00ED396C"/>
    <w:rsid w:val="00ED7E43"/>
    <w:rsid w:val="00F82133"/>
    <w:rsid w:val="00F965A1"/>
    <w:rsid w:val="00FB76DF"/>
    <w:rsid w:val="00FD6BA7"/>
    <w:rsid w:val="00FF00E0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BF17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BF17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3053</Words>
  <Characters>16492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2016-04-14T16:18:00Z</cp:lastPrinted>
  <dcterms:created xsi:type="dcterms:W3CDTF">2016-05-05T16:44:00Z</dcterms:created>
  <dcterms:modified xsi:type="dcterms:W3CDTF">2016-05-05T16:44:00Z</dcterms:modified>
</cp:coreProperties>
</file>