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171964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707674" w:rsidRDefault="00707674" w:rsidP="007076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ATA DE REGISTRO DE PREÇOS N° </w:t>
      </w:r>
      <w:r w:rsidR="002F1AEF">
        <w:rPr>
          <w:rFonts w:ascii="Book Antiqua" w:hAnsi="Book Antiqua"/>
          <w:b/>
          <w:sz w:val="24"/>
          <w:szCs w:val="24"/>
        </w:rPr>
        <w:t>0</w:t>
      </w:r>
      <w:r w:rsidR="001D0232">
        <w:rPr>
          <w:rFonts w:ascii="Book Antiqua" w:hAnsi="Book Antiqua"/>
          <w:b/>
          <w:sz w:val="24"/>
          <w:szCs w:val="24"/>
        </w:rPr>
        <w:t>3</w:t>
      </w:r>
      <w:r w:rsidR="00E95FE3">
        <w:rPr>
          <w:rFonts w:ascii="Book Antiqua" w:hAnsi="Book Antiqua"/>
          <w:b/>
          <w:sz w:val="24"/>
          <w:szCs w:val="24"/>
        </w:rPr>
        <w:t>6</w:t>
      </w:r>
      <w:r>
        <w:rPr>
          <w:rFonts w:ascii="Book Antiqua" w:hAnsi="Book Antiqua"/>
          <w:b/>
          <w:sz w:val="24"/>
          <w:szCs w:val="24"/>
        </w:rPr>
        <w:t>/2016</w:t>
      </w:r>
    </w:p>
    <w:p w:rsidR="00707674" w:rsidRDefault="00707674" w:rsidP="00707674">
      <w:pPr>
        <w:rPr>
          <w:rFonts w:ascii="Book Antiqua" w:hAnsi="Book Antiqua"/>
          <w:b/>
          <w:sz w:val="24"/>
          <w:szCs w:val="24"/>
        </w:rPr>
      </w:pPr>
    </w:p>
    <w:p w:rsidR="00E22F05" w:rsidRDefault="00E22F05" w:rsidP="00707674">
      <w:pPr>
        <w:rPr>
          <w:rFonts w:ascii="Book Antiqua" w:hAnsi="Book Antiqua"/>
          <w:b/>
          <w:sz w:val="24"/>
          <w:szCs w:val="24"/>
        </w:rPr>
      </w:pPr>
    </w:p>
    <w:p w:rsidR="00707674" w:rsidRPr="00D35920" w:rsidRDefault="00707674" w:rsidP="00707674">
      <w:pPr>
        <w:rPr>
          <w:rFonts w:ascii="Book Antiqua" w:hAnsi="Book Antiqua"/>
          <w:b/>
          <w:sz w:val="24"/>
          <w:szCs w:val="24"/>
        </w:rPr>
      </w:pPr>
      <w:r w:rsidRPr="00D35920">
        <w:rPr>
          <w:rFonts w:ascii="Book Antiqua" w:hAnsi="Book Antiqua"/>
          <w:b/>
          <w:sz w:val="24"/>
          <w:szCs w:val="24"/>
        </w:rPr>
        <w:t xml:space="preserve">PROCESSO Nº </w:t>
      </w:r>
      <w:r w:rsidR="0014185D">
        <w:rPr>
          <w:rFonts w:ascii="Book Antiqua" w:hAnsi="Book Antiqua"/>
          <w:b/>
          <w:sz w:val="24"/>
          <w:szCs w:val="24"/>
        </w:rPr>
        <w:t>1</w:t>
      </w:r>
      <w:r w:rsidR="00E95FE3">
        <w:rPr>
          <w:rFonts w:ascii="Book Antiqua" w:hAnsi="Book Antiqua"/>
          <w:b/>
          <w:sz w:val="24"/>
          <w:szCs w:val="24"/>
        </w:rPr>
        <w:t>63</w:t>
      </w:r>
      <w:r>
        <w:rPr>
          <w:rFonts w:ascii="Book Antiqua" w:hAnsi="Book Antiqua"/>
          <w:b/>
          <w:sz w:val="24"/>
          <w:szCs w:val="24"/>
        </w:rPr>
        <w:t>/2016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1D0232">
        <w:rPr>
          <w:rFonts w:ascii="Arial" w:hAnsi="Arial" w:cs="Arial"/>
          <w:b/>
          <w:sz w:val="22"/>
          <w:szCs w:val="22"/>
        </w:rPr>
        <w:t>7</w:t>
      </w:r>
      <w:r w:rsidR="00E95FE3">
        <w:rPr>
          <w:rFonts w:ascii="Arial" w:hAnsi="Arial" w:cs="Arial"/>
          <w:b/>
          <w:sz w:val="22"/>
          <w:szCs w:val="22"/>
        </w:rPr>
        <w:t>9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</w:p>
    <w:p w:rsidR="00FD6BA7" w:rsidRDefault="00FF34EE" w:rsidP="00FD6B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VALIDADE DA ATA: </w:t>
      </w:r>
      <w:r w:rsidR="0014185D">
        <w:rPr>
          <w:rFonts w:ascii="Arial" w:hAnsi="Arial" w:cs="Arial"/>
          <w:b/>
          <w:sz w:val="22"/>
          <w:szCs w:val="22"/>
        </w:rPr>
        <w:t>30 de</w:t>
      </w:r>
      <w:r w:rsidR="008B5773">
        <w:rPr>
          <w:rFonts w:ascii="Arial" w:hAnsi="Arial" w:cs="Arial"/>
          <w:b/>
          <w:sz w:val="22"/>
          <w:szCs w:val="22"/>
        </w:rPr>
        <w:t xml:space="preserve"> </w:t>
      </w:r>
      <w:r w:rsidR="0014185D">
        <w:rPr>
          <w:rFonts w:ascii="Arial" w:hAnsi="Arial" w:cs="Arial"/>
          <w:b/>
          <w:sz w:val="22"/>
          <w:szCs w:val="22"/>
        </w:rPr>
        <w:t>dezembro</w:t>
      </w:r>
      <w:r w:rsidR="008B5773">
        <w:rPr>
          <w:rFonts w:ascii="Arial" w:hAnsi="Arial" w:cs="Arial"/>
          <w:b/>
          <w:sz w:val="22"/>
          <w:szCs w:val="22"/>
        </w:rPr>
        <w:t xml:space="preserve"> de 201</w:t>
      </w:r>
      <w:r w:rsidR="0014185D">
        <w:rPr>
          <w:rFonts w:ascii="Arial" w:hAnsi="Arial" w:cs="Arial"/>
          <w:b/>
          <w:sz w:val="22"/>
          <w:szCs w:val="22"/>
        </w:rPr>
        <w:t>6</w:t>
      </w:r>
    </w:p>
    <w:p w:rsidR="00E22F05" w:rsidRDefault="00E22F05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>Aos dias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E95FE3">
        <w:rPr>
          <w:rFonts w:ascii="Arial" w:hAnsi="Arial" w:cs="Arial"/>
          <w:sz w:val="22"/>
          <w:szCs w:val="22"/>
        </w:rPr>
        <w:t>22</w:t>
      </w:r>
      <w:r w:rsidR="002F1AEF">
        <w:rPr>
          <w:rFonts w:ascii="Arial" w:hAnsi="Arial" w:cs="Arial"/>
          <w:sz w:val="22"/>
          <w:szCs w:val="22"/>
        </w:rPr>
        <w:t>(</w:t>
      </w:r>
      <w:r w:rsidR="00E95FE3">
        <w:rPr>
          <w:rFonts w:ascii="Arial" w:hAnsi="Arial" w:cs="Arial"/>
          <w:sz w:val="22"/>
          <w:szCs w:val="22"/>
        </w:rPr>
        <w:t>vinte e dois</w:t>
      </w:r>
      <w:r w:rsidR="002F1AEF">
        <w:rPr>
          <w:rFonts w:ascii="Arial" w:hAnsi="Arial" w:cs="Arial"/>
          <w:sz w:val="22"/>
          <w:szCs w:val="22"/>
        </w:rPr>
        <w:t>)</w:t>
      </w:r>
      <w:r w:rsidRPr="009E5A45">
        <w:rPr>
          <w:rFonts w:ascii="Arial" w:hAnsi="Arial" w:cs="Arial"/>
          <w:sz w:val="22"/>
          <w:szCs w:val="22"/>
        </w:rPr>
        <w:t xml:space="preserve"> do mês de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1D0232">
        <w:rPr>
          <w:rFonts w:ascii="Arial" w:hAnsi="Arial" w:cs="Arial"/>
          <w:sz w:val="22"/>
          <w:szCs w:val="22"/>
        </w:rPr>
        <w:t>agosto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8B5773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E95FE3">
        <w:rPr>
          <w:rFonts w:ascii="Arial" w:hAnsi="Arial" w:cs="Arial"/>
          <w:sz w:val="22"/>
          <w:szCs w:val="22"/>
        </w:rPr>
        <w:t>02</w:t>
      </w:r>
      <w:r w:rsidR="00707674">
        <w:rPr>
          <w:rFonts w:ascii="Arial" w:hAnsi="Arial" w:cs="Arial"/>
          <w:sz w:val="22"/>
          <w:szCs w:val="22"/>
        </w:rPr>
        <w:t xml:space="preserve"> de </w:t>
      </w:r>
      <w:r w:rsidR="00E95FE3">
        <w:rPr>
          <w:rFonts w:ascii="Arial" w:hAnsi="Arial" w:cs="Arial"/>
          <w:sz w:val="22"/>
          <w:szCs w:val="22"/>
        </w:rPr>
        <w:t>setembro d</w:t>
      </w:r>
      <w:r w:rsidR="00707674">
        <w:rPr>
          <w:rFonts w:ascii="Arial" w:hAnsi="Arial" w:cs="Arial"/>
          <w:sz w:val="22"/>
          <w:szCs w:val="22"/>
        </w:rPr>
        <w:t xml:space="preserve">e </w:t>
      </w:r>
      <w:r w:rsidR="008B5773">
        <w:rPr>
          <w:rFonts w:ascii="Arial" w:hAnsi="Arial" w:cs="Arial"/>
          <w:sz w:val="22"/>
          <w:szCs w:val="22"/>
        </w:rPr>
        <w:t>2016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Pr="008056AE">
        <w:rPr>
          <w:rFonts w:ascii="Arial" w:hAnsi="Arial" w:cs="Arial"/>
          <w:sz w:val="22"/>
          <w:szCs w:val="22"/>
        </w:rPr>
        <w:t xml:space="preserve">o </w:t>
      </w:r>
      <w:r w:rsidR="008056AE" w:rsidRPr="00CC076E">
        <w:rPr>
          <w:rFonts w:ascii="Arial" w:hAnsi="Arial" w:cs="Arial"/>
          <w:sz w:val="22"/>
          <w:szCs w:val="22"/>
        </w:rPr>
        <w:t xml:space="preserve">Prefeito Municipal, </w:t>
      </w:r>
      <w:proofErr w:type="spellStart"/>
      <w:r w:rsidR="008056AE" w:rsidRPr="00CC076E">
        <w:rPr>
          <w:rFonts w:ascii="Arial" w:hAnsi="Arial" w:cs="Arial"/>
          <w:sz w:val="22"/>
          <w:szCs w:val="22"/>
        </w:rPr>
        <w:t>Sr</w:t>
      </w:r>
      <w:proofErr w:type="spellEnd"/>
      <w:r w:rsidR="008056AE" w:rsidRPr="00CC076E">
        <w:rPr>
          <w:rFonts w:ascii="Arial" w:hAnsi="Arial" w:cs="Arial"/>
          <w:sz w:val="22"/>
          <w:szCs w:val="22"/>
        </w:rPr>
        <w:t xml:space="preserve"> </w:t>
      </w:r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Humberto Carlos Ramos </w:t>
      </w:r>
      <w:proofErr w:type="spellStart"/>
      <w:r w:rsidR="008056AE" w:rsidRPr="00CC076E">
        <w:rPr>
          <w:rFonts w:ascii="Arial" w:hAnsi="Arial" w:cs="Arial"/>
          <w:i/>
          <w:iCs/>
          <w:sz w:val="22"/>
          <w:szCs w:val="22"/>
        </w:rPr>
        <w:t>Amaducci</w:t>
      </w:r>
      <w:proofErr w:type="spellEnd"/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, </w:t>
      </w:r>
      <w:r w:rsidR="008056AE" w:rsidRPr="00CC076E">
        <w:rPr>
          <w:rFonts w:ascii="Arial" w:hAnsi="Arial" w:cs="Arial"/>
          <w:sz w:val="22"/>
          <w:szCs w:val="22"/>
        </w:rPr>
        <w:t>brasileiro, casado, residente e domiciliado  nesta cidade de MUNDO NOVO (MS), portador do RG nº 486.508 expedida pela SSP/MS, inscrito no CPF sob o nº 368.587.141-20</w:t>
      </w:r>
      <w:r w:rsidRPr="00CC076E">
        <w:rPr>
          <w:rFonts w:ascii="Arial" w:hAnsi="Arial" w:cs="Arial"/>
          <w:sz w:val="22"/>
          <w:szCs w:val="22"/>
        </w:rPr>
        <w:t>,</w:t>
      </w:r>
      <w:r w:rsidRPr="008056AE">
        <w:rPr>
          <w:rFonts w:ascii="Arial" w:hAnsi="Arial" w:cs="Arial"/>
          <w:sz w:val="22"/>
          <w:szCs w:val="22"/>
        </w:rPr>
        <w:t xml:space="preserve"> </w:t>
      </w:r>
      <w:r w:rsidRPr="009E5A45">
        <w:rPr>
          <w:rFonts w:ascii="Arial" w:hAnsi="Arial" w:cs="Arial"/>
          <w:sz w:val="22"/>
          <w:szCs w:val="22"/>
        </w:rPr>
        <w:t>resolve registrar os preços, de acordo com as especificações constantes no edital do mencionado pregão, em seus anexos e em conformidade com o ajustado a seguir:</w:t>
      </w:r>
    </w:p>
    <w:p w:rsidR="00E22F05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9E5A45" w:rsidRP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E22F05" w:rsidRPr="00827985" w:rsidRDefault="00E22F05" w:rsidP="0082798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14185D">
        <w:rPr>
          <w:rFonts w:ascii="Arial" w:hAnsi="Arial" w:cs="Arial"/>
          <w:sz w:val="22"/>
          <w:szCs w:val="22"/>
          <w:lang w:eastAsia="ar-SA"/>
        </w:rPr>
        <w:t>1</w:t>
      </w:r>
      <w:r w:rsidR="001D0232">
        <w:rPr>
          <w:rFonts w:ascii="Arial" w:hAnsi="Arial" w:cs="Arial"/>
          <w:sz w:val="22"/>
          <w:szCs w:val="22"/>
          <w:lang w:eastAsia="ar-SA"/>
        </w:rPr>
        <w:t>6</w:t>
      </w:r>
      <w:r w:rsidR="00E95FE3">
        <w:rPr>
          <w:rFonts w:ascii="Arial" w:hAnsi="Arial" w:cs="Arial"/>
          <w:sz w:val="22"/>
          <w:szCs w:val="22"/>
          <w:lang w:eastAsia="ar-SA"/>
        </w:rPr>
        <w:t>3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E95FE3">
        <w:rPr>
          <w:rFonts w:ascii="Arial" w:hAnsi="Arial" w:cs="Arial"/>
          <w:sz w:val="22"/>
          <w:szCs w:val="22"/>
          <w:lang w:eastAsia="ar-SA"/>
        </w:rPr>
        <w:t>79</w:t>
      </w:r>
      <w:r w:rsidR="00037AAB">
        <w:rPr>
          <w:rFonts w:ascii="Arial" w:hAnsi="Arial" w:cs="Arial"/>
          <w:sz w:val="22"/>
          <w:szCs w:val="22"/>
          <w:lang w:eastAsia="ar-SA"/>
        </w:rPr>
        <w:t>/</w:t>
      </w:r>
      <w:r w:rsidRPr="00FD6BA7">
        <w:rPr>
          <w:rFonts w:ascii="Arial" w:hAnsi="Arial" w:cs="Arial"/>
          <w:sz w:val="22"/>
          <w:szCs w:val="22"/>
          <w:lang w:eastAsia="ar-SA"/>
        </w:rPr>
        <w:t>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E22F05" w:rsidRDefault="00E22F05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E430D">
        <w:rPr>
          <w:rFonts w:ascii="Arial" w:hAnsi="Arial" w:cs="Arial"/>
          <w:sz w:val="22"/>
          <w:szCs w:val="22"/>
        </w:rPr>
        <w:t xml:space="preserve">2.1. </w:t>
      </w:r>
      <w:proofErr w:type="gramStart"/>
      <w:r w:rsidR="00707674" w:rsidRPr="00DE430D">
        <w:rPr>
          <w:rFonts w:ascii="Arial" w:hAnsi="Arial" w:cs="Arial"/>
          <w:sz w:val="22"/>
          <w:szCs w:val="22"/>
        </w:rPr>
        <w:t>A presente</w:t>
      </w:r>
      <w:proofErr w:type="gramEnd"/>
      <w:r w:rsidR="00707674" w:rsidRPr="00DE430D">
        <w:rPr>
          <w:rFonts w:ascii="Arial" w:hAnsi="Arial" w:cs="Arial"/>
          <w:sz w:val="22"/>
          <w:szCs w:val="22"/>
        </w:rPr>
        <w:t xml:space="preserve"> Ata de Registro de Preços, tem por objeto</w:t>
      </w:r>
      <w:r w:rsidR="00E95FE3">
        <w:rPr>
          <w:rFonts w:ascii="Arial" w:hAnsi="Arial" w:cs="Arial"/>
          <w:sz w:val="22"/>
          <w:szCs w:val="22"/>
        </w:rPr>
        <w:t xml:space="preserve"> </w:t>
      </w:r>
      <w:r w:rsidR="00E95FE3" w:rsidRPr="00E95FE3">
        <w:rPr>
          <w:rFonts w:ascii="Arial" w:hAnsi="Arial" w:cs="Arial"/>
          <w:sz w:val="22"/>
          <w:szCs w:val="22"/>
        </w:rPr>
        <w:t>Registro de Preços para contratação eventual de Materiais Elétricos que serão utilizados na Manutenção da Iluminação pública de reparos das Lâmpadas e</w:t>
      </w:r>
      <w:r w:rsidR="00E95FE3" w:rsidRPr="00E95FE3">
        <w:rPr>
          <w:rFonts w:ascii="Arial" w:hAnsi="Arial" w:cs="Arial"/>
          <w:sz w:val="22"/>
          <w:szCs w:val="22"/>
        </w:rPr>
        <w:t xml:space="preserve"> Pontos Novos a serem atendidos</w:t>
      </w:r>
      <w:r w:rsidR="00037AAB">
        <w:rPr>
          <w:rFonts w:ascii="Arial" w:hAnsi="Arial" w:cs="Arial"/>
          <w:bCs/>
          <w:color w:val="000000"/>
          <w:sz w:val="22"/>
          <w:szCs w:val="22"/>
        </w:rPr>
        <w:t xml:space="preserve"> em atendimento a Secretaria </w:t>
      </w:r>
      <w:r w:rsidR="001D0232">
        <w:rPr>
          <w:rFonts w:ascii="Arial" w:hAnsi="Arial" w:cs="Arial"/>
          <w:bCs/>
          <w:color w:val="000000"/>
          <w:sz w:val="22"/>
          <w:szCs w:val="22"/>
        </w:rPr>
        <w:t>Municipal de Obras, conforme descrição e fornecedores a seguir:</w:t>
      </w:r>
    </w:p>
    <w:p w:rsidR="00E95FE3" w:rsidRDefault="00E95FE3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95FE3" w:rsidRDefault="00E95FE3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95FE3" w:rsidRDefault="00E95FE3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95FE3" w:rsidRDefault="00E95FE3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95FE3" w:rsidRDefault="00E95FE3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95FE3" w:rsidRDefault="00E95FE3" w:rsidP="00E95F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53F9" w:rsidRPr="00365957" w:rsidRDefault="005D53F9" w:rsidP="0070767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95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WD FERRAGENS NAUTICA LTDA</w:t>
      </w:r>
      <w:r w:rsidRPr="0036595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E95FE3" w:rsidRPr="00365957" w:rsidRDefault="00E95FE3" w:rsidP="0070767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CNPJ: 02.902.937/0001-88</w:t>
      </w:r>
    </w:p>
    <w:p w:rsidR="00E95FE3" w:rsidRPr="00365957" w:rsidRDefault="00E95FE3" w:rsidP="0070767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957">
        <w:rPr>
          <w:rFonts w:ascii="Arial" w:hAnsi="Arial" w:cs="Arial"/>
          <w:b/>
          <w:bCs/>
          <w:color w:val="000000"/>
          <w:sz w:val="22"/>
          <w:szCs w:val="22"/>
        </w:rPr>
        <w:t xml:space="preserve">ENDEREÇO: AVENIDA </w:t>
      </w:r>
      <w:proofErr w:type="gramStart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JK ,</w:t>
      </w:r>
      <w:proofErr w:type="gramEnd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 xml:space="preserve"> N° 866, CENTRO. MUNDO NOVO-MS</w:t>
      </w:r>
    </w:p>
    <w:p w:rsidR="00E95FE3" w:rsidRPr="00365957" w:rsidRDefault="00E95FE3" w:rsidP="0070767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Representad</w:t>
      </w:r>
      <w:r w:rsidR="0036595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365957">
        <w:rPr>
          <w:rFonts w:ascii="Arial" w:hAnsi="Arial" w:cs="Arial"/>
          <w:b/>
          <w:bCs/>
          <w:color w:val="000000"/>
          <w:sz w:val="22"/>
          <w:szCs w:val="22"/>
        </w:rPr>
        <w:t xml:space="preserve"> pela Sra. </w:t>
      </w:r>
      <w:proofErr w:type="spellStart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Jamili</w:t>
      </w:r>
      <w:proofErr w:type="spellEnd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Kadri</w:t>
      </w:r>
      <w:proofErr w:type="spellEnd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Doná</w:t>
      </w:r>
      <w:proofErr w:type="spellEnd"/>
      <w:r w:rsidRPr="00365957">
        <w:rPr>
          <w:rFonts w:ascii="Arial" w:hAnsi="Arial" w:cs="Arial"/>
          <w:b/>
          <w:bCs/>
          <w:color w:val="000000"/>
          <w:sz w:val="22"/>
          <w:szCs w:val="22"/>
        </w:rPr>
        <w:t>, portadora CPF 257.565.751-20 e RG 282.328 SSP/MS.</w:t>
      </w:r>
    </w:p>
    <w:p w:rsidR="00E95FE3" w:rsidRPr="005D53F9" w:rsidRDefault="00E95FE3" w:rsidP="0070767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6"/>
        <w:gridCol w:w="2519"/>
        <w:gridCol w:w="1095"/>
        <w:gridCol w:w="952"/>
        <w:gridCol w:w="1276"/>
        <w:gridCol w:w="1139"/>
        <w:gridCol w:w="983"/>
      </w:tblGrid>
      <w:tr w:rsidR="005D5CAE" w:rsidRPr="005D53F9" w:rsidTr="005D5CAE">
        <w:tc>
          <w:tcPr>
            <w:tcW w:w="772" w:type="dxa"/>
          </w:tcPr>
          <w:p w:rsidR="005D5CAE" w:rsidRPr="005D53F9" w:rsidRDefault="005D5CAE" w:rsidP="00707674">
            <w:pPr>
              <w:spacing w:after="12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2709" w:type="dxa"/>
            <w:vAlign w:val="center"/>
          </w:tcPr>
          <w:p w:rsidR="005D5CAE" w:rsidRPr="005D53F9" w:rsidRDefault="005D5CA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 xml:space="preserve">ESPECIFICAÇÕES DO ITEM </w:t>
            </w:r>
          </w:p>
        </w:tc>
        <w:tc>
          <w:tcPr>
            <w:tcW w:w="1105" w:type="dxa"/>
            <w:vAlign w:val="center"/>
          </w:tcPr>
          <w:p w:rsidR="005D5CAE" w:rsidRPr="005D53F9" w:rsidRDefault="005D5C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62" w:type="dxa"/>
            <w:vAlign w:val="center"/>
          </w:tcPr>
          <w:p w:rsidR="005D5CAE" w:rsidRPr="005D53F9" w:rsidRDefault="005D5C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210" w:type="dxa"/>
          </w:tcPr>
          <w:p w:rsidR="005D5CAE" w:rsidRPr="005D53F9" w:rsidRDefault="005D5CAE" w:rsidP="005D53F9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995" w:type="dxa"/>
          </w:tcPr>
          <w:p w:rsidR="005D5CAE" w:rsidRPr="005D53F9" w:rsidRDefault="005D5CAE" w:rsidP="005D53F9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5D5CAE" w:rsidRPr="005D53F9" w:rsidTr="005D5CAE">
        <w:tc>
          <w:tcPr>
            <w:tcW w:w="772" w:type="dxa"/>
          </w:tcPr>
          <w:p w:rsidR="005D5CAE" w:rsidRPr="005D53F9" w:rsidRDefault="005D5CAE" w:rsidP="00E95FE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09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ABRAÇADEIRA PARA ILUMINAÇÃO</w:t>
            </w:r>
          </w:p>
        </w:tc>
        <w:tc>
          <w:tcPr>
            <w:tcW w:w="1105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62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KONESUL</w:t>
            </w:r>
          </w:p>
        </w:tc>
        <w:tc>
          <w:tcPr>
            <w:tcW w:w="1210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37,90</w:t>
            </w:r>
          </w:p>
        </w:tc>
        <w:tc>
          <w:tcPr>
            <w:tcW w:w="995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1.516,00</w:t>
            </w:r>
          </w:p>
        </w:tc>
      </w:tr>
      <w:tr w:rsidR="005D5CAE" w:rsidRPr="005D53F9" w:rsidTr="005D5CAE">
        <w:tc>
          <w:tcPr>
            <w:tcW w:w="772" w:type="dxa"/>
          </w:tcPr>
          <w:p w:rsidR="005D5CAE" w:rsidRPr="005D53F9" w:rsidRDefault="005D5CAE" w:rsidP="00E95FE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709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BRACO PARA LUMINARIA PUBLICA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1X2,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50M</w:t>
            </w:r>
          </w:p>
        </w:tc>
        <w:tc>
          <w:tcPr>
            <w:tcW w:w="1105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62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ALMIRANTE</w:t>
            </w:r>
          </w:p>
        </w:tc>
        <w:tc>
          <w:tcPr>
            <w:tcW w:w="1210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95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2.320,00</w:t>
            </w:r>
          </w:p>
        </w:tc>
      </w:tr>
      <w:tr w:rsidR="005D5CAE" w:rsidRPr="005D53F9" w:rsidTr="005D5CAE">
        <w:tc>
          <w:tcPr>
            <w:tcW w:w="772" w:type="dxa"/>
          </w:tcPr>
          <w:p w:rsidR="005D5CAE" w:rsidRPr="005D53F9" w:rsidRDefault="005D5CAE" w:rsidP="00E95FE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709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GLOBO LUMINÁRIA FECHADA TIPO SÃO PAULO ANTIGO PARA LAMPADA DE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400W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COM FERRAGENS OU EQUIVALENTE</w:t>
            </w:r>
          </w:p>
        </w:tc>
        <w:tc>
          <w:tcPr>
            <w:tcW w:w="1105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62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IDEAL</w:t>
            </w:r>
          </w:p>
        </w:tc>
        <w:tc>
          <w:tcPr>
            <w:tcW w:w="1210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995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3.300,00</w:t>
            </w:r>
          </w:p>
        </w:tc>
      </w:tr>
      <w:tr w:rsidR="005D5CAE" w:rsidRPr="005D53F9" w:rsidTr="005D5CAE">
        <w:trPr>
          <w:trHeight w:val="448"/>
        </w:trPr>
        <w:tc>
          <w:tcPr>
            <w:tcW w:w="772" w:type="dxa"/>
          </w:tcPr>
          <w:p w:rsidR="005D5CAE" w:rsidRPr="005D53F9" w:rsidRDefault="005D5CAE" w:rsidP="00E95FE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9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LÂMPADA VAPOR METÁLICO DE 400 W</w:t>
            </w:r>
          </w:p>
        </w:tc>
        <w:tc>
          <w:tcPr>
            <w:tcW w:w="1105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62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FOX</w:t>
            </w:r>
          </w:p>
        </w:tc>
        <w:tc>
          <w:tcPr>
            <w:tcW w:w="1210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95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4.760,00</w:t>
            </w:r>
          </w:p>
        </w:tc>
      </w:tr>
      <w:tr w:rsidR="005D5CAE" w:rsidRPr="005D53F9" w:rsidTr="005D5CAE">
        <w:trPr>
          <w:trHeight w:val="448"/>
        </w:trPr>
        <w:tc>
          <w:tcPr>
            <w:tcW w:w="772" w:type="dxa"/>
          </w:tcPr>
          <w:p w:rsidR="005D5CAE" w:rsidRPr="005D53F9" w:rsidRDefault="005D5CAE" w:rsidP="00E95FE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09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LUMINARIA ABERTA TP-200-5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TROPICO</w:t>
            </w:r>
            <w:proofErr w:type="gramEnd"/>
          </w:p>
        </w:tc>
        <w:tc>
          <w:tcPr>
            <w:tcW w:w="1105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62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ALMIRANTE</w:t>
            </w:r>
          </w:p>
        </w:tc>
        <w:tc>
          <w:tcPr>
            <w:tcW w:w="1210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995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6.020,00</w:t>
            </w:r>
          </w:p>
        </w:tc>
      </w:tr>
      <w:tr w:rsidR="005D5CAE" w:rsidRPr="005D53F9" w:rsidTr="005D5CAE">
        <w:trPr>
          <w:trHeight w:val="448"/>
        </w:trPr>
        <w:tc>
          <w:tcPr>
            <w:tcW w:w="772" w:type="dxa"/>
          </w:tcPr>
          <w:p w:rsidR="005D5CAE" w:rsidRPr="005D53F9" w:rsidRDefault="005D5CAE" w:rsidP="00E95FE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09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REATOR VAPOR DE SODIO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400W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EXTERNO</w:t>
            </w:r>
          </w:p>
        </w:tc>
        <w:tc>
          <w:tcPr>
            <w:tcW w:w="1105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62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67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995" w:type="dxa"/>
          </w:tcPr>
          <w:p w:rsidR="005D5CAE" w:rsidRPr="005D53F9" w:rsidRDefault="005D5CAE" w:rsidP="005D5CAE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11.490,00</w:t>
            </w:r>
          </w:p>
        </w:tc>
      </w:tr>
    </w:tbl>
    <w:p w:rsidR="001D0232" w:rsidRDefault="005D53F9" w:rsidP="005D53F9">
      <w:pPr>
        <w:spacing w:after="120"/>
        <w:jc w:val="right"/>
        <w:rPr>
          <w:b/>
          <w:bCs/>
          <w:color w:val="000000"/>
          <w:sz w:val="22"/>
          <w:szCs w:val="22"/>
        </w:rPr>
      </w:pPr>
      <w:r w:rsidRPr="005D53F9">
        <w:rPr>
          <w:b/>
          <w:bCs/>
          <w:color w:val="000000"/>
          <w:sz w:val="22"/>
          <w:szCs w:val="22"/>
        </w:rPr>
        <w:t xml:space="preserve">VALOR TOTAL </w:t>
      </w:r>
      <w:r>
        <w:rPr>
          <w:b/>
          <w:bCs/>
          <w:color w:val="000000"/>
          <w:sz w:val="22"/>
          <w:szCs w:val="22"/>
        </w:rPr>
        <w:t>R$</w:t>
      </w:r>
      <w:r w:rsidR="005D5CAE">
        <w:rPr>
          <w:b/>
          <w:bCs/>
          <w:color w:val="000000"/>
          <w:sz w:val="22"/>
          <w:szCs w:val="22"/>
        </w:rPr>
        <w:t xml:space="preserve"> 29.406,00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5D5CAE" w:rsidRPr="005D53F9" w:rsidRDefault="005D5CAE" w:rsidP="005D53F9">
      <w:pPr>
        <w:spacing w:after="120"/>
        <w:jc w:val="right"/>
        <w:rPr>
          <w:b/>
          <w:bCs/>
          <w:color w:val="000000"/>
          <w:sz w:val="22"/>
          <w:szCs w:val="22"/>
        </w:rPr>
      </w:pPr>
    </w:p>
    <w:p w:rsidR="001D0232" w:rsidRPr="00365957" w:rsidRDefault="005D53F9" w:rsidP="00707674">
      <w:pPr>
        <w:spacing w:after="120"/>
        <w:jc w:val="both"/>
        <w:rPr>
          <w:b/>
          <w:bCs/>
          <w:i/>
          <w:color w:val="000000"/>
          <w:sz w:val="24"/>
          <w:szCs w:val="24"/>
        </w:rPr>
      </w:pPr>
      <w:r w:rsidRPr="00365957">
        <w:rPr>
          <w:b/>
          <w:bCs/>
          <w:i/>
          <w:color w:val="000000"/>
          <w:sz w:val="24"/>
          <w:szCs w:val="24"/>
        </w:rPr>
        <w:t>WANDERLEY RANKEL EPP</w:t>
      </w:r>
    </w:p>
    <w:p w:rsidR="005D5CAE" w:rsidRPr="00365957" w:rsidRDefault="005D5CAE" w:rsidP="00707674">
      <w:pPr>
        <w:spacing w:after="120"/>
        <w:jc w:val="both"/>
        <w:rPr>
          <w:b/>
          <w:bCs/>
          <w:color w:val="000000"/>
          <w:sz w:val="22"/>
          <w:szCs w:val="22"/>
        </w:rPr>
      </w:pPr>
      <w:r w:rsidRPr="00365957">
        <w:rPr>
          <w:b/>
          <w:bCs/>
          <w:color w:val="000000"/>
          <w:sz w:val="22"/>
          <w:szCs w:val="22"/>
        </w:rPr>
        <w:t>CNPJ: 01.539.477/0001-02</w:t>
      </w:r>
    </w:p>
    <w:p w:rsidR="005D5CAE" w:rsidRPr="00365957" w:rsidRDefault="005D5CAE" w:rsidP="00707674">
      <w:pPr>
        <w:spacing w:after="120"/>
        <w:jc w:val="both"/>
        <w:rPr>
          <w:b/>
          <w:bCs/>
          <w:color w:val="000000"/>
          <w:sz w:val="22"/>
          <w:szCs w:val="22"/>
        </w:rPr>
      </w:pPr>
      <w:r w:rsidRPr="00365957">
        <w:rPr>
          <w:b/>
          <w:bCs/>
          <w:color w:val="000000"/>
          <w:sz w:val="22"/>
          <w:szCs w:val="22"/>
        </w:rPr>
        <w:t>ENDEREÇO: AVENIDA CAMPO GRANDE, 1437, CENTRO, MUNDO NOVO-MS.</w:t>
      </w:r>
    </w:p>
    <w:p w:rsidR="005D5CAE" w:rsidRPr="00365957" w:rsidRDefault="005D5CAE" w:rsidP="00707674">
      <w:pPr>
        <w:spacing w:after="120"/>
        <w:jc w:val="both"/>
        <w:rPr>
          <w:b/>
          <w:bCs/>
          <w:color w:val="000000"/>
          <w:sz w:val="22"/>
          <w:szCs w:val="22"/>
        </w:rPr>
      </w:pPr>
      <w:r w:rsidRPr="00365957">
        <w:rPr>
          <w:b/>
          <w:bCs/>
          <w:color w:val="000000"/>
          <w:sz w:val="22"/>
          <w:szCs w:val="22"/>
        </w:rPr>
        <w:t>R</w:t>
      </w:r>
      <w:r w:rsidR="00365957">
        <w:rPr>
          <w:b/>
          <w:bCs/>
          <w:color w:val="000000"/>
          <w:sz w:val="22"/>
          <w:szCs w:val="22"/>
        </w:rPr>
        <w:t xml:space="preserve">epresentada </w:t>
      </w:r>
      <w:r w:rsidRPr="00365957">
        <w:rPr>
          <w:b/>
          <w:bCs/>
          <w:color w:val="000000"/>
          <w:sz w:val="22"/>
          <w:szCs w:val="22"/>
        </w:rPr>
        <w:t xml:space="preserve">pelo Sr. Wanderley </w:t>
      </w:r>
      <w:proofErr w:type="spellStart"/>
      <w:r w:rsidRPr="00365957">
        <w:rPr>
          <w:b/>
          <w:bCs/>
          <w:color w:val="000000"/>
          <w:sz w:val="22"/>
          <w:szCs w:val="22"/>
        </w:rPr>
        <w:t>Rankel</w:t>
      </w:r>
      <w:proofErr w:type="spellEnd"/>
      <w:r w:rsidRPr="00365957">
        <w:rPr>
          <w:b/>
          <w:bCs/>
          <w:color w:val="000000"/>
          <w:sz w:val="22"/>
          <w:szCs w:val="22"/>
        </w:rPr>
        <w:t>, portador do CPF 249.665.251-87 e RG 101573 SSP/</w:t>
      </w:r>
      <w:proofErr w:type="gramStart"/>
      <w:r w:rsidRPr="00365957">
        <w:rPr>
          <w:b/>
          <w:bCs/>
          <w:color w:val="000000"/>
          <w:sz w:val="22"/>
          <w:szCs w:val="22"/>
        </w:rPr>
        <w:t>MS</w:t>
      </w:r>
      <w:proofErr w:type="gramEnd"/>
    </w:p>
    <w:p w:rsidR="005D5CAE" w:rsidRPr="005D53F9" w:rsidRDefault="005D5CAE" w:rsidP="00707674">
      <w:pPr>
        <w:spacing w:after="12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5"/>
        <w:gridCol w:w="2672"/>
        <w:gridCol w:w="1089"/>
        <w:gridCol w:w="945"/>
        <w:gridCol w:w="1206"/>
        <w:gridCol w:w="1092"/>
        <w:gridCol w:w="971"/>
      </w:tblGrid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31" w:type="dxa"/>
            <w:vAlign w:val="center"/>
          </w:tcPr>
          <w:p w:rsidR="005D5CAE" w:rsidRPr="005D53F9" w:rsidRDefault="005D5CAE" w:rsidP="00EB3A7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 xml:space="preserve">ESPECIFICAÇÕES DO ITEM </w:t>
            </w:r>
          </w:p>
        </w:tc>
        <w:tc>
          <w:tcPr>
            <w:tcW w:w="1101" w:type="dxa"/>
            <w:vAlign w:val="center"/>
          </w:tcPr>
          <w:p w:rsidR="005D5CAE" w:rsidRPr="005D53F9" w:rsidRDefault="005D5CAE" w:rsidP="00EB3A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58" w:type="dxa"/>
            <w:vAlign w:val="center"/>
          </w:tcPr>
          <w:p w:rsidR="005D5CAE" w:rsidRPr="005D53F9" w:rsidRDefault="005D5CAE" w:rsidP="00EB3A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CHAVE CONTACTORA 70A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WEG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368,00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1.104,00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CONECTOR PERFURANTE 10X25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INJESA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322,50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RIGIDO ISOLAÇÃO DE 450/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70V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 MM²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METRO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CORFIL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1.290,00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FIO/CABO DE COBRE FLEXIVEL-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4MM</w:t>
            </w:r>
            <w:proofErr w:type="gramEnd"/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METRO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CORFIL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680,00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LÂMPADA COMPACTA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75W</w:t>
            </w:r>
            <w:proofErr w:type="gramEnd"/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FOX LUX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11.840,00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LAMPADA FLUORESCENTE - 40 W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FORX LUX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REATOR PARA FLUORESCENTE - 1 X 40 W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INTRAL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28,50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1.710,00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REATOR VAPOR DE SÓDIO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400W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INTERNO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INTRAL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11.400,00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SOQUETE DE PRESSÃO PARA FLUORESCENTE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LORENZETI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110,00</w:t>
            </w:r>
          </w:p>
        </w:tc>
      </w:tr>
      <w:tr w:rsidR="005D5CAE" w:rsidRPr="005D53F9" w:rsidTr="005D5CAE">
        <w:tc>
          <w:tcPr>
            <w:tcW w:w="765" w:type="dxa"/>
          </w:tcPr>
          <w:p w:rsidR="005D5CAE" w:rsidRPr="005D5CAE" w:rsidRDefault="005D5CAE" w:rsidP="005D5CAE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CAE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1" w:type="dxa"/>
            <w:vAlign w:val="center"/>
          </w:tcPr>
          <w:p w:rsidR="005D5CAE" w:rsidRDefault="005D5CA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SOQUETE E27 LOUÇA PARA ILUMINAÇÃO PUBLICA BOCAL/SOQUETE/RECEPTACULO</w:t>
            </w:r>
          </w:p>
        </w:tc>
        <w:tc>
          <w:tcPr>
            <w:tcW w:w="1101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58" w:type="dxa"/>
            <w:vAlign w:val="center"/>
          </w:tcPr>
          <w:p w:rsidR="005D5CAE" w:rsidRDefault="005D5CA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01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LORENZETI </w:t>
            </w:r>
          </w:p>
        </w:tc>
        <w:tc>
          <w:tcPr>
            <w:tcW w:w="1180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984" w:type="dxa"/>
          </w:tcPr>
          <w:p w:rsidR="005D5CAE" w:rsidRPr="005D53F9" w:rsidRDefault="005D5CAE" w:rsidP="00EB3A77">
            <w:p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290,00</w:t>
            </w:r>
          </w:p>
        </w:tc>
      </w:tr>
    </w:tbl>
    <w:p w:rsidR="001D0232" w:rsidRDefault="005D53F9" w:rsidP="005D53F9">
      <w:pPr>
        <w:spacing w:after="120"/>
        <w:jc w:val="right"/>
        <w:rPr>
          <w:b/>
          <w:bCs/>
          <w:color w:val="000000"/>
          <w:sz w:val="22"/>
          <w:szCs w:val="22"/>
        </w:rPr>
      </w:pPr>
      <w:r w:rsidRPr="005D53F9">
        <w:rPr>
          <w:b/>
          <w:bCs/>
          <w:color w:val="000000"/>
          <w:sz w:val="22"/>
          <w:szCs w:val="22"/>
        </w:rPr>
        <w:t xml:space="preserve">VALOR TOTAL </w:t>
      </w:r>
      <w:r>
        <w:rPr>
          <w:b/>
          <w:bCs/>
          <w:color w:val="000000"/>
          <w:sz w:val="22"/>
          <w:szCs w:val="22"/>
        </w:rPr>
        <w:t xml:space="preserve">R$ </w:t>
      </w:r>
      <w:r w:rsidR="005D5CAE">
        <w:rPr>
          <w:b/>
          <w:bCs/>
          <w:color w:val="000000"/>
          <w:sz w:val="22"/>
          <w:szCs w:val="22"/>
        </w:rPr>
        <w:t>29.299,50</w:t>
      </w:r>
    </w:p>
    <w:p w:rsidR="005D53F9" w:rsidRPr="00DE430D" w:rsidRDefault="005D53F9" w:rsidP="005D53F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lastRenderedPageBreak/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 w:rsidR="00707674">
        <w:rPr>
          <w:rFonts w:ascii="Arial" w:hAnsi="Arial" w:cs="Arial"/>
          <w:sz w:val="22"/>
          <w:szCs w:val="22"/>
        </w:rPr>
        <w:t xml:space="preserve"> da assinatura </w:t>
      </w:r>
      <w:r w:rsidR="00DE430D">
        <w:rPr>
          <w:rFonts w:ascii="Arial" w:hAnsi="Arial" w:cs="Arial"/>
          <w:sz w:val="22"/>
          <w:szCs w:val="22"/>
        </w:rPr>
        <w:t xml:space="preserve">até </w:t>
      </w:r>
      <w:r w:rsidR="00037AAB">
        <w:rPr>
          <w:rFonts w:ascii="Arial" w:hAnsi="Arial" w:cs="Arial"/>
          <w:sz w:val="22"/>
          <w:szCs w:val="22"/>
        </w:rPr>
        <w:t>30</w:t>
      </w:r>
      <w:r w:rsidR="00DE430D">
        <w:rPr>
          <w:rFonts w:ascii="Arial" w:hAnsi="Arial" w:cs="Arial"/>
          <w:sz w:val="22"/>
          <w:szCs w:val="22"/>
        </w:rPr>
        <w:t xml:space="preserve"> </w:t>
      </w:r>
      <w:r w:rsidR="0093017D">
        <w:rPr>
          <w:rFonts w:ascii="Arial" w:hAnsi="Arial" w:cs="Arial"/>
          <w:sz w:val="22"/>
          <w:szCs w:val="22"/>
        </w:rPr>
        <w:t xml:space="preserve">de </w:t>
      </w:r>
      <w:r w:rsidR="00037AAB">
        <w:rPr>
          <w:rFonts w:ascii="Arial" w:hAnsi="Arial" w:cs="Arial"/>
          <w:sz w:val="22"/>
          <w:szCs w:val="22"/>
        </w:rPr>
        <w:t>dezembro de 2016.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</w:t>
      </w:r>
      <w:r w:rsidR="00707674">
        <w:rPr>
          <w:rFonts w:ascii="Arial" w:hAnsi="Arial" w:cs="Arial"/>
          <w:b/>
          <w:sz w:val="22"/>
          <w:szCs w:val="22"/>
        </w:rPr>
        <w:t xml:space="preserve">. Caberá à Secretaria </w:t>
      </w:r>
      <w:r w:rsidR="002F1AEF">
        <w:rPr>
          <w:rFonts w:ascii="Arial" w:hAnsi="Arial" w:cs="Arial"/>
          <w:b/>
          <w:sz w:val="22"/>
          <w:szCs w:val="22"/>
        </w:rPr>
        <w:t xml:space="preserve">Municipal de </w:t>
      </w:r>
      <w:r w:rsidR="005D53F9">
        <w:rPr>
          <w:rFonts w:ascii="Arial" w:hAnsi="Arial" w:cs="Arial"/>
          <w:b/>
          <w:sz w:val="22"/>
          <w:szCs w:val="22"/>
        </w:rPr>
        <w:t xml:space="preserve">Obras e Serviços Urbanos </w:t>
      </w:r>
      <w:r w:rsidRPr="00FD6BA7">
        <w:rPr>
          <w:rFonts w:ascii="Arial" w:hAnsi="Arial" w:cs="Arial"/>
          <w:sz w:val="22"/>
          <w:szCs w:val="22"/>
        </w:rPr>
        <w:t>o gerenciamento deste instrumento, no seu aspecto operacional e nas questões legais limitando-se aos serviços solicitados por cada Secretaria.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E22F05" w:rsidRDefault="00E22F05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F34EE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</w:t>
      </w:r>
      <w:r w:rsidR="00CC076E">
        <w:rPr>
          <w:rFonts w:ascii="Arial" w:hAnsi="Arial" w:cs="Arial"/>
          <w:sz w:val="22"/>
          <w:szCs w:val="22"/>
        </w:rPr>
        <w:t xml:space="preserve">cial do Município de Mundo </w:t>
      </w:r>
      <w:proofErr w:type="spellStart"/>
      <w:r w:rsidR="00CC076E">
        <w:rPr>
          <w:rFonts w:ascii="Arial" w:hAnsi="Arial" w:cs="Arial"/>
          <w:sz w:val="22"/>
          <w:szCs w:val="22"/>
        </w:rPr>
        <w:t>Novo-MS</w:t>
      </w:r>
      <w:proofErr w:type="spellEnd"/>
      <w:r w:rsidR="00CC076E">
        <w:rPr>
          <w:rFonts w:ascii="Arial" w:hAnsi="Arial" w:cs="Arial"/>
          <w:sz w:val="22"/>
          <w:szCs w:val="22"/>
        </w:rPr>
        <w:t>.</w:t>
      </w:r>
    </w:p>
    <w:p w:rsidR="00DE430D" w:rsidRPr="007816D1" w:rsidRDefault="00DE430D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7816D1">
        <w:rPr>
          <w:rFonts w:ascii="Arial" w:hAnsi="Arial" w:cs="Arial"/>
          <w:sz w:val="22"/>
          <w:szCs w:val="22"/>
        </w:rPr>
        <w:t>0</w:t>
      </w:r>
      <w:r w:rsidR="00037AAB">
        <w:rPr>
          <w:rFonts w:ascii="Arial" w:hAnsi="Arial" w:cs="Arial"/>
          <w:sz w:val="22"/>
          <w:szCs w:val="22"/>
        </w:rPr>
        <w:t>44</w:t>
      </w:r>
      <w:r w:rsidR="00DE430D">
        <w:rPr>
          <w:rFonts w:ascii="Arial" w:hAnsi="Arial" w:cs="Arial"/>
          <w:sz w:val="22"/>
          <w:szCs w:val="22"/>
        </w:rPr>
        <w:t>/</w:t>
      </w:r>
      <w:r w:rsidR="007816D1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037AAB" w:rsidRDefault="00FD6BA7" w:rsidP="00037AA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7AAB">
        <w:rPr>
          <w:rFonts w:ascii="Arial" w:hAnsi="Arial" w:cs="Arial"/>
          <w:sz w:val="22"/>
          <w:szCs w:val="22"/>
        </w:rPr>
        <w:t>No caso do fornecedor classificado recusar-se a atender à convocação para assinar a</w:t>
      </w:r>
      <w:r w:rsidR="007816D1" w:rsidRPr="00037AAB">
        <w:rPr>
          <w:rFonts w:ascii="Arial" w:hAnsi="Arial" w:cs="Arial"/>
          <w:sz w:val="22"/>
          <w:szCs w:val="22"/>
        </w:rPr>
        <w:t xml:space="preserve"> </w:t>
      </w:r>
      <w:r w:rsidRPr="00037AAB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365957" w:rsidRDefault="0036595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365957" w:rsidRDefault="0036595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365957" w:rsidRDefault="00365957" w:rsidP="007816D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lastRenderedPageBreak/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707674" w:rsidRDefault="00707674" w:rsidP="00FD6BA7">
      <w:pPr>
        <w:jc w:val="both"/>
        <w:rPr>
          <w:rFonts w:ascii="Arial" w:hAnsi="Arial" w:cs="Arial"/>
          <w:sz w:val="22"/>
          <w:szCs w:val="22"/>
        </w:rPr>
      </w:pPr>
    </w:p>
    <w:p w:rsidR="00DE430D" w:rsidRDefault="00DE430D" w:rsidP="00FD6BA7">
      <w:pPr>
        <w:jc w:val="both"/>
        <w:rPr>
          <w:rFonts w:ascii="Arial" w:hAnsi="Arial" w:cs="Arial"/>
          <w:sz w:val="22"/>
          <w:szCs w:val="22"/>
        </w:rPr>
      </w:pPr>
    </w:p>
    <w:p w:rsidR="00770C3C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ÓRGÃ</w:t>
      </w:r>
      <w:r w:rsidR="00DE7AF4" w:rsidRPr="00707674">
        <w:rPr>
          <w:rFonts w:ascii="Arial" w:hAnsi="Arial" w:cs="Arial"/>
          <w:b/>
          <w:sz w:val="22"/>
          <w:szCs w:val="22"/>
        </w:rPr>
        <w:t>O GESTOR DO REGISTRO DE PREÇOS:</w:t>
      </w:r>
      <w:r w:rsidR="00C92F01" w:rsidRPr="00707674">
        <w:rPr>
          <w:rFonts w:ascii="Arial" w:hAnsi="Arial" w:cs="Arial"/>
          <w:b/>
          <w:sz w:val="22"/>
          <w:szCs w:val="22"/>
        </w:rPr>
        <w:t xml:space="preserve"> </w:t>
      </w:r>
      <w:r w:rsidR="002F1AEF">
        <w:rPr>
          <w:rFonts w:ascii="Arial" w:hAnsi="Arial" w:cs="Arial"/>
          <w:b/>
          <w:sz w:val="22"/>
          <w:szCs w:val="22"/>
        </w:rPr>
        <w:t xml:space="preserve">SECRETARIA DE </w:t>
      </w:r>
      <w:r w:rsidR="00770C3C">
        <w:rPr>
          <w:rFonts w:ascii="Arial" w:hAnsi="Arial" w:cs="Arial"/>
          <w:b/>
          <w:sz w:val="22"/>
          <w:szCs w:val="22"/>
        </w:rPr>
        <w:t xml:space="preserve">OBRAS E SERVIÇOS URBANOS </w:t>
      </w:r>
    </w:p>
    <w:p w:rsidR="00FD6BA7" w:rsidRPr="00707674" w:rsidRDefault="00FD6BA7" w:rsidP="00CC076E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 w:rsidR="00097FAD">
        <w:rPr>
          <w:rFonts w:ascii="Arial" w:hAnsi="Arial" w:cs="Arial"/>
          <w:b/>
          <w:sz w:val="22"/>
          <w:szCs w:val="22"/>
        </w:rPr>
        <w:t xml:space="preserve"> </w:t>
      </w:r>
      <w:r w:rsidR="00770C3C">
        <w:rPr>
          <w:rFonts w:ascii="Arial" w:hAnsi="Arial" w:cs="Arial"/>
          <w:b/>
          <w:sz w:val="22"/>
          <w:szCs w:val="22"/>
        </w:rPr>
        <w:t>CEZAR FOLADOR</w:t>
      </w:r>
      <w:r w:rsidR="002F1AEF">
        <w:rPr>
          <w:rFonts w:ascii="Arial" w:hAnsi="Arial" w:cs="Arial"/>
          <w:b/>
          <w:sz w:val="22"/>
          <w:szCs w:val="22"/>
        </w:rPr>
        <w:tab/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FD6BA7" w:rsidRPr="00707674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 w:rsidR="00770C3C">
        <w:rPr>
          <w:rFonts w:ascii="Arial" w:hAnsi="Arial" w:cs="Arial"/>
          <w:b/>
          <w:sz w:val="22"/>
          <w:szCs w:val="22"/>
        </w:rPr>
        <w:t>SECRETÁRIO DE OBRAS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770C3C">
        <w:rPr>
          <w:rFonts w:ascii="Arial" w:hAnsi="Arial" w:cs="Arial"/>
          <w:sz w:val="22"/>
          <w:szCs w:val="22"/>
        </w:rPr>
        <w:t>7</w:t>
      </w:r>
      <w:r w:rsidR="00365957">
        <w:rPr>
          <w:rFonts w:ascii="Arial" w:hAnsi="Arial" w:cs="Arial"/>
          <w:sz w:val="22"/>
          <w:szCs w:val="22"/>
        </w:rPr>
        <w:t>9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707674" w:rsidRPr="00460955" w:rsidRDefault="00707674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707674" w:rsidRDefault="00707674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404DF2" w:rsidRPr="00770C3C" w:rsidRDefault="00770C3C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proofErr w:type="gramStart"/>
      <w:r w:rsidRPr="00770C3C">
        <w:rPr>
          <w:rFonts w:ascii="Arial" w:hAnsi="Arial" w:cs="Arial"/>
          <w:b/>
          <w:sz w:val="22"/>
          <w:szCs w:val="22"/>
        </w:rPr>
        <w:t>07.01 SECRETARIA</w:t>
      </w:r>
      <w:proofErr w:type="gramEnd"/>
      <w:r w:rsidRPr="00770C3C">
        <w:rPr>
          <w:rFonts w:ascii="Arial" w:hAnsi="Arial" w:cs="Arial"/>
          <w:b/>
          <w:sz w:val="22"/>
          <w:szCs w:val="22"/>
        </w:rPr>
        <w:t xml:space="preserve"> MUNICIPAL DE OBRAS E SERVIÇOS URBANOS</w:t>
      </w:r>
    </w:p>
    <w:p w:rsidR="00770C3C" w:rsidRPr="00770C3C" w:rsidRDefault="00770C3C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proofErr w:type="gramStart"/>
      <w:r w:rsidRPr="00770C3C">
        <w:rPr>
          <w:rFonts w:ascii="Arial" w:hAnsi="Arial" w:cs="Arial"/>
          <w:b/>
          <w:sz w:val="22"/>
          <w:szCs w:val="22"/>
        </w:rPr>
        <w:t>2.0</w:t>
      </w:r>
      <w:r w:rsidR="00365957">
        <w:rPr>
          <w:rFonts w:ascii="Arial" w:hAnsi="Arial" w:cs="Arial"/>
          <w:b/>
          <w:sz w:val="22"/>
          <w:szCs w:val="22"/>
        </w:rPr>
        <w:t>75 MANUTENÇÃO</w:t>
      </w:r>
      <w:proofErr w:type="gramEnd"/>
      <w:r w:rsidR="00365957">
        <w:rPr>
          <w:rFonts w:ascii="Arial" w:hAnsi="Arial" w:cs="Arial"/>
          <w:b/>
          <w:sz w:val="22"/>
          <w:szCs w:val="22"/>
        </w:rPr>
        <w:t xml:space="preserve">, APLIAÇÃO E CONSERV. DA ILUMINAÇÃO PÚBLICA </w:t>
      </w:r>
    </w:p>
    <w:p w:rsidR="00770C3C" w:rsidRPr="00770C3C" w:rsidRDefault="00770C3C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770C3C">
        <w:rPr>
          <w:rFonts w:ascii="Arial" w:hAnsi="Arial" w:cs="Arial"/>
          <w:b/>
          <w:sz w:val="22"/>
          <w:szCs w:val="22"/>
        </w:rPr>
        <w:t xml:space="preserve">3.3.90.30 MATERIAL DE CONSUMO </w:t>
      </w:r>
    </w:p>
    <w:p w:rsidR="00770C3C" w:rsidRPr="00770C3C" w:rsidRDefault="00365957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CÓD RED. 120</w:t>
      </w:r>
    </w:p>
    <w:p w:rsidR="00770C3C" w:rsidRPr="00FD6BA7" w:rsidRDefault="00770C3C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="00460955" w:rsidRPr="00FB76DF">
        <w:rPr>
          <w:rFonts w:ascii="Arial" w:hAnsi="Arial" w:cs="Arial"/>
          <w:sz w:val="22"/>
          <w:szCs w:val="22"/>
        </w:rPr>
        <w:t xml:space="preserve"> do edital do </w:t>
      </w:r>
      <w:r w:rsidRPr="00FB76DF">
        <w:rPr>
          <w:rFonts w:ascii="Arial" w:hAnsi="Arial" w:cs="Arial"/>
          <w:sz w:val="22"/>
          <w:szCs w:val="22"/>
        </w:rPr>
        <w:t>Pregão Presencial 0</w:t>
      </w:r>
      <w:r w:rsidR="00770C3C">
        <w:rPr>
          <w:rFonts w:ascii="Arial" w:hAnsi="Arial" w:cs="Arial"/>
          <w:sz w:val="22"/>
          <w:szCs w:val="22"/>
        </w:rPr>
        <w:t>7</w:t>
      </w:r>
      <w:r w:rsidR="00365957">
        <w:rPr>
          <w:rFonts w:ascii="Arial" w:hAnsi="Arial" w:cs="Arial"/>
          <w:sz w:val="22"/>
          <w:szCs w:val="22"/>
        </w:rPr>
        <w:t>9</w:t>
      </w:r>
      <w:r w:rsidRPr="00FB76DF">
        <w:rPr>
          <w:rFonts w:ascii="Arial" w:hAnsi="Arial" w:cs="Arial"/>
          <w:sz w:val="22"/>
          <w:szCs w:val="22"/>
        </w:rPr>
        <w:t>/201</w:t>
      </w:r>
      <w:r w:rsidR="0093017D" w:rsidRP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F34EE" w:rsidRDefault="00FF34EE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404DF2">
        <w:rPr>
          <w:rFonts w:ascii="Arial" w:hAnsi="Arial" w:cs="Arial"/>
          <w:sz w:val="22"/>
          <w:szCs w:val="22"/>
        </w:rPr>
        <w:t>0</w:t>
      </w:r>
      <w:r w:rsidR="00770C3C">
        <w:rPr>
          <w:rFonts w:ascii="Arial" w:hAnsi="Arial" w:cs="Arial"/>
          <w:sz w:val="22"/>
          <w:szCs w:val="22"/>
        </w:rPr>
        <w:t>7</w:t>
      </w:r>
      <w:r w:rsidR="00365957">
        <w:rPr>
          <w:rFonts w:ascii="Arial" w:hAnsi="Arial" w:cs="Arial"/>
          <w:sz w:val="22"/>
          <w:szCs w:val="22"/>
        </w:rPr>
        <w:t>9</w:t>
      </w:r>
      <w:r w:rsidRPr="00FD6BA7">
        <w:rPr>
          <w:rFonts w:ascii="Arial" w:hAnsi="Arial" w:cs="Arial"/>
          <w:sz w:val="22"/>
          <w:szCs w:val="22"/>
        </w:rPr>
        <w:t>/201</w:t>
      </w:r>
      <w:r w:rsid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997A2C" w:rsidRDefault="00997A2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ED396C" w:rsidRPr="00FD6BA7" w:rsidRDefault="00ED396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65957">
        <w:rPr>
          <w:rFonts w:ascii="Arial" w:hAnsi="Arial" w:cs="Arial"/>
          <w:color w:val="000000"/>
          <w:lang w:val="pt-PT"/>
        </w:rPr>
        <w:t xml:space="preserve">      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365957">
        <w:rPr>
          <w:rFonts w:ascii="Arial" w:hAnsi="Arial" w:cs="Arial"/>
          <w:color w:val="000000"/>
          <w:lang w:val="pt-PT"/>
        </w:rPr>
        <w:t xml:space="preserve">02 </w:t>
      </w:r>
      <w:r w:rsidR="002F1AEF">
        <w:rPr>
          <w:rFonts w:ascii="Arial" w:hAnsi="Arial" w:cs="Arial"/>
          <w:color w:val="000000"/>
          <w:lang w:val="pt-PT"/>
        </w:rPr>
        <w:t xml:space="preserve">DE </w:t>
      </w:r>
      <w:r w:rsidR="00365957">
        <w:rPr>
          <w:rFonts w:ascii="Arial" w:hAnsi="Arial" w:cs="Arial"/>
          <w:color w:val="000000"/>
          <w:lang w:val="pt-PT"/>
        </w:rPr>
        <w:t>SETEMBRO</w:t>
      </w:r>
      <w:r w:rsidR="002F1AEF">
        <w:rPr>
          <w:rFonts w:ascii="Arial" w:hAnsi="Arial" w:cs="Arial"/>
          <w:color w:val="000000"/>
          <w:lang w:val="pt-PT"/>
        </w:rPr>
        <w:t xml:space="preserve"> DE 2016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2E76C3" w:rsidRPr="002E76C3" w:rsidTr="00770C3C">
        <w:trPr>
          <w:trHeight w:val="1312"/>
        </w:trPr>
        <w:tc>
          <w:tcPr>
            <w:tcW w:w="4644" w:type="dxa"/>
            <w:hideMark/>
          </w:tcPr>
          <w:p w:rsidR="00770C3C" w:rsidRPr="00E95FE3" w:rsidRDefault="00770C3C" w:rsidP="00770C3C">
            <w:pPr>
              <w:ind w:right="-108"/>
              <w:jc w:val="center"/>
              <w:rPr>
                <w:rFonts w:eastAsia="SimSun"/>
                <w:b/>
                <w:sz w:val="21"/>
                <w:szCs w:val="21"/>
                <w:lang w:val="en-US"/>
              </w:rPr>
            </w:pPr>
            <w:r w:rsidRPr="00E95FE3">
              <w:rPr>
                <w:rFonts w:eastAsia="SimSun"/>
                <w:b/>
                <w:sz w:val="21"/>
                <w:szCs w:val="21"/>
                <w:lang w:val="en-US"/>
              </w:rPr>
              <w:t>______________</w:t>
            </w:r>
            <w:r w:rsidRPr="00E95FE3">
              <w:rPr>
                <w:rFonts w:eastAsia="SimSun"/>
                <w:b/>
                <w:sz w:val="21"/>
                <w:szCs w:val="21"/>
                <w:lang w:val="en-US"/>
              </w:rPr>
              <w:softHyphen/>
            </w:r>
            <w:r w:rsidRPr="00E95FE3">
              <w:rPr>
                <w:rFonts w:eastAsia="SimSun"/>
                <w:b/>
                <w:sz w:val="21"/>
                <w:szCs w:val="21"/>
                <w:lang w:val="en-US"/>
              </w:rPr>
              <w:softHyphen/>
              <w:t>___________________________</w:t>
            </w:r>
          </w:p>
          <w:p w:rsidR="00770C3C" w:rsidRPr="00E95FE3" w:rsidRDefault="00770C3C" w:rsidP="00770C3C">
            <w:pPr>
              <w:spacing w:after="120"/>
              <w:jc w:val="center"/>
              <w:rPr>
                <w:b/>
                <w:bCs/>
                <w:color w:val="000000"/>
                <w:lang w:val="en-US"/>
              </w:rPr>
            </w:pPr>
            <w:r w:rsidRPr="00E95FE3">
              <w:rPr>
                <w:b/>
                <w:bCs/>
                <w:color w:val="000000"/>
                <w:lang w:val="en-US"/>
              </w:rPr>
              <w:t>WANDERLEY RANKEL</w:t>
            </w:r>
          </w:p>
          <w:p w:rsidR="00770C3C" w:rsidRPr="00E95FE3" w:rsidRDefault="00770C3C" w:rsidP="00770C3C">
            <w:pPr>
              <w:spacing w:after="120"/>
              <w:jc w:val="center"/>
              <w:rPr>
                <w:b/>
                <w:bCs/>
                <w:color w:val="000000"/>
                <w:lang w:val="en-US"/>
              </w:rPr>
            </w:pPr>
            <w:r w:rsidRPr="00E95FE3">
              <w:rPr>
                <w:b/>
                <w:bCs/>
                <w:color w:val="000000"/>
                <w:lang w:val="en-US"/>
              </w:rPr>
              <w:t>WANDERLEY RANKEL EPP</w:t>
            </w:r>
          </w:p>
          <w:p w:rsidR="002E76C3" w:rsidRPr="00E95FE3" w:rsidRDefault="00770C3C" w:rsidP="00770C3C">
            <w:pPr>
              <w:jc w:val="center"/>
              <w:rPr>
                <w:rFonts w:eastAsia="SimSun"/>
                <w:sz w:val="21"/>
                <w:szCs w:val="21"/>
                <w:lang w:val="en-US"/>
              </w:rPr>
            </w:pPr>
            <w:r w:rsidRPr="00E95FE3">
              <w:rPr>
                <w:rFonts w:eastAsia="SimSun"/>
                <w:b/>
                <w:lang w:val="en-US"/>
              </w:rPr>
              <w:t>CONTRATADO</w:t>
            </w: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E95FE3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2E76C3">
              <w:rPr>
                <w:rFonts w:eastAsia="SimSun"/>
                <w:sz w:val="22"/>
                <w:szCs w:val="22"/>
              </w:rPr>
              <w:t>__________________________________</w:t>
            </w:r>
          </w:p>
          <w:p w:rsidR="00C92ECD" w:rsidRPr="00770C3C" w:rsidRDefault="00770C3C" w:rsidP="002E76C3">
            <w:pPr>
              <w:jc w:val="center"/>
              <w:rPr>
                <w:rFonts w:eastAsia="SimSun"/>
                <w:b/>
              </w:rPr>
            </w:pPr>
            <w:r w:rsidRPr="00770C3C">
              <w:rPr>
                <w:rFonts w:eastAsia="SimSun"/>
                <w:b/>
              </w:rPr>
              <w:t>WILSON DONA</w:t>
            </w:r>
          </w:p>
          <w:p w:rsidR="00097FAD" w:rsidRPr="00770C3C" w:rsidRDefault="00770C3C" w:rsidP="002E76C3">
            <w:pPr>
              <w:jc w:val="center"/>
              <w:rPr>
                <w:rFonts w:eastAsia="SimSun"/>
                <w:b/>
              </w:rPr>
            </w:pPr>
            <w:r w:rsidRPr="00770C3C">
              <w:rPr>
                <w:b/>
                <w:bCs/>
                <w:color w:val="000000"/>
              </w:rPr>
              <w:t>WD FERRAGENS NAUTICA LTDA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770C3C">
              <w:rPr>
                <w:rFonts w:eastAsia="SimSun"/>
                <w:b/>
              </w:rPr>
              <w:t>CONTRATADO</w:t>
            </w: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707674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770C3C" w:rsidRPr="002E76C3" w:rsidRDefault="00770C3C" w:rsidP="00770C3C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770C3C" w:rsidRDefault="00770C3C" w:rsidP="00770C3C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770C3C" w:rsidRDefault="00770C3C" w:rsidP="00770C3C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770C3C" w:rsidRPr="002E76C3" w:rsidRDefault="00770C3C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4D7626" w:rsidRPr="00FD6BA7" w:rsidRDefault="004D7626" w:rsidP="00C92ECD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D5" w:rsidRDefault="002C09D5" w:rsidP="003F05AA">
      <w:r>
        <w:separator/>
      </w:r>
    </w:p>
  </w:endnote>
  <w:endnote w:type="continuationSeparator" w:id="0">
    <w:p w:rsidR="002C09D5" w:rsidRDefault="002C09D5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60955" w:rsidRDefault="0046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D5" w:rsidRDefault="002C09D5" w:rsidP="003F05AA">
      <w:r>
        <w:separator/>
      </w:r>
    </w:p>
  </w:footnote>
  <w:footnote w:type="continuationSeparator" w:id="0">
    <w:p w:rsidR="002C09D5" w:rsidRDefault="002C09D5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">
    <w:nsid w:val="3C22143E"/>
    <w:multiLevelType w:val="hybridMultilevel"/>
    <w:tmpl w:val="84A05906"/>
    <w:lvl w:ilvl="0" w:tplc="6C3C9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37AAB"/>
    <w:rsid w:val="00051BAE"/>
    <w:rsid w:val="0007157C"/>
    <w:rsid w:val="00074862"/>
    <w:rsid w:val="000856D6"/>
    <w:rsid w:val="00097FAD"/>
    <w:rsid w:val="000C08AF"/>
    <w:rsid w:val="000D5423"/>
    <w:rsid w:val="000F533B"/>
    <w:rsid w:val="000F61F9"/>
    <w:rsid w:val="000F6570"/>
    <w:rsid w:val="001114B2"/>
    <w:rsid w:val="0012319A"/>
    <w:rsid w:val="00125C5B"/>
    <w:rsid w:val="0014185D"/>
    <w:rsid w:val="00157C24"/>
    <w:rsid w:val="00171964"/>
    <w:rsid w:val="001A47EE"/>
    <w:rsid w:val="001D0232"/>
    <w:rsid w:val="001D2B69"/>
    <w:rsid w:val="001D3E74"/>
    <w:rsid w:val="001D49BC"/>
    <w:rsid w:val="002002C6"/>
    <w:rsid w:val="002043B8"/>
    <w:rsid w:val="00237A3F"/>
    <w:rsid w:val="00281376"/>
    <w:rsid w:val="002B629A"/>
    <w:rsid w:val="002C09D5"/>
    <w:rsid w:val="002E76C3"/>
    <w:rsid w:val="002F1AEF"/>
    <w:rsid w:val="0030794C"/>
    <w:rsid w:val="00330549"/>
    <w:rsid w:val="00350AC1"/>
    <w:rsid w:val="00365957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04DF2"/>
    <w:rsid w:val="00411FEF"/>
    <w:rsid w:val="00444290"/>
    <w:rsid w:val="00460955"/>
    <w:rsid w:val="00460CC6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D53F9"/>
    <w:rsid w:val="005D5CAE"/>
    <w:rsid w:val="005E0969"/>
    <w:rsid w:val="00625FBB"/>
    <w:rsid w:val="0063027E"/>
    <w:rsid w:val="00630E38"/>
    <w:rsid w:val="006421EE"/>
    <w:rsid w:val="006473E4"/>
    <w:rsid w:val="0064750C"/>
    <w:rsid w:val="006639ED"/>
    <w:rsid w:val="006D1152"/>
    <w:rsid w:val="007056BE"/>
    <w:rsid w:val="00707674"/>
    <w:rsid w:val="00710231"/>
    <w:rsid w:val="0072399B"/>
    <w:rsid w:val="00727ABF"/>
    <w:rsid w:val="0073328E"/>
    <w:rsid w:val="00747BB1"/>
    <w:rsid w:val="007640DD"/>
    <w:rsid w:val="00770C3C"/>
    <w:rsid w:val="007816D1"/>
    <w:rsid w:val="00795F45"/>
    <w:rsid w:val="007E557E"/>
    <w:rsid w:val="007F5772"/>
    <w:rsid w:val="008056AE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97A2C"/>
    <w:rsid w:val="009A56AB"/>
    <w:rsid w:val="009A7870"/>
    <w:rsid w:val="009B1D4F"/>
    <w:rsid w:val="009E5A45"/>
    <w:rsid w:val="009F3552"/>
    <w:rsid w:val="009F6189"/>
    <w:rsid w:val="00A0044E"/>
    <w:rsid w:val="00A1536A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ECD"/>
    <w:rsid w:val="00C92F01"/>
    <w:rsid w:val="00CC076E"/>
    <w:rsid w:val="00CC4C92"/>
    <w:rsid w:val="00D02DB8"/>
    <w:rsid w:val="00D3479F"/>
    <w:rsid w:val="00D63520"/>
    <w:rsid w:val="00D65A9F"/>
    <w:rsid w:val="00DA33B9"/>
    <w:rsid w:val="00DB168C"/>
    <w:rsid w:val="00DE1773"/>
    <w:rsid w:val="00DE430D"/>
    <w:rsid w:val="00DE7AF4"/>
    <w:rsid w:val="00DF0A79"/>
    <w:rsid w:val="00DF46FE"/>
    <w:rsid w:val="00E039A8"/>
    <w:rsid w:val="00E066AC"/>
    <w:rsid w:val="00E22F05"/>
    <w:rsid w:val="00E31E45"/>
    <w:rsid w:val="00E4643B"/>
    <w:rsid w:val="00E70555"/>
    <w:rsid w:val="00E939F8"/>
    <w:rsid w:val="00E95FE3"/>
    <w:rsid w:val="00EA4DC8"/>
    <w:rsid w:val="00EB7703"/>
    <w:rsid w:val="00ED396C"/>
    <w:rsid w:val="00ED7E43"/>
    <w:rsid w:val="00EF5566"/>
    <w:rsid w:val="00F82133"/>
    <w:rsid w:val="00F965A1"/>
    <w:rsid w:val="00FB76DF"/>
    <w:rsid w:val="00FD6BA7"/>
    <w:rsid w:val="00FF00E0"/>
    <w:rsid w:val="00FF34EE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3172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2016-04-29T15:22:00Z</cp:lastPrinted>
  <dcterms:created xsi:type="dcterms:W3CDTF">2016-09-02T14:12:00Z</dcterms:created>
  <dcterms:modified xsi:type="dcterms:W3CDTF">2016-09-02T14:12:00Z</dcterms:modified>
</cp:coreProperties>
</file>