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00D4" w:rsidRDefault="00E100D4" w:rsidP="00E100D4">
      <w:pPr>
        <w:shd w:val="clear" w:color="auto" w:fill="FFFFFF"/>
        <w:jc w:val="center"/>
        <w:rPr>
          <w:rFonts w:asciiTheme="minorHAnsi" w:eastAsia="Calibri" w:hAnsiTheme="minorHAnsi" w:cstheme="minorHAnsi"/>
          <w:b/>
          <w:caps/>
          <w:spacing w:val="20"/>
          <w:sz w:val="22"/>
          <w:szCs w:val="22"/>
          <w:u w:val="single"/>
        </w:rPr>
      </w:pPr>
      <w:r>
        <w:rPr>
          <w:rFonts w:asciiTheme="minorHAnsi" w:eastAsia="Calibri" w:hAnsiTheme="minorHAnsi" w:cstheme="minorHAnsi"/>
          <w:b/>
          <w:bCs/>
          <w:spacing w:val="20"/>
          <w:sz w:val="22"/>
          <w:szCs w:val="22"/>
          <w:u w:val="single"/>
        </w:rPr>
        <w:t>ATA DE REGISTRO DE PREÇOS N.º 014/ 2023</w:t>
      </w:r>
    </w:p>
    <w:p w:rsidR="00E100D4" w:rsidRDefault="00E100D4" w:rsidP="00E100D4">
      <w:pPr>
        <w:jc w:val="both"/>
        <w:rPr>
          <w:rFonts w:asciiTheme="minorHAnsi" w:eastAsia="Calibri" w:hAnsiTheme="minorHAnsi" w:cstheme="minorHAnsi"/>
          <w:color w:val="000000"/>
          <w:sz w:val="22"/>
          <w:szCs w:val="22"/>
        </w:rPr>
      </w:pPr>
      <w:r>
        <w:rPr>
          <w:rFonts w:asciiTheme="minorHAnsi" w:hAnsiTheme="minorHAnsi" w:cstheme="minorHAnsi"/>
          <w:b/>
          <w:sz w:val="22"/>
          <w:szCs w:val="22"/>
        </w:rPr>
        <w:t>REPRESENTANTES:</w:t>
      </w:r>
      <w:r>
        <w:rPr>
          <w:rFonts w:asciiTheme="minorHAnsi" w:hAnsiTheme="minorHAnsi" w:cstheme="minorHAnsi"/>
          <w:sz w:val="22"/>
          <w:szCs w:val="22"/>
        </w:rPr>
        <w:t xml:space="preserve"> Representa a </w:t>
      </w:r>
      <w:r>
        <w:rPr>
          <w:rFonts w:asciiTheme="minorHAnsi" w:hAnsiTheme="minorHAnsi" w:cstheme="minorHAnsi"/>
          <w:b/>
          <w:sz w:val="22"/>
          <w:szCs w:val="22"/>
        </w:rPr>
        <w:t>CONTRATANTE</w:t>
      </w:r>
      <w:r>
        <w:rPr>
          <w:rFonts w:asciiTheme="minorHAnsi" w:hAnsiTheme="minorHAnsi" w:cstheme="minorHAnsi"/>
          <w:sz w:val="22"/>
          <w:szCs w:val="22"/>
        </w:rPr>
        <w:t xml:space="preserve"> a Secretária Municipal de Saúde, a senhora </w:t>
      </w:r>
      <w:r>
        <w:rPr>
          <w:rFonts w:ascii="Arial Narrow" w:hAnsi="Arial Narrow"/>
          <w:iCs/>
          <w:sz w:val="24"/>
          <w:szCs w:val="24"/>
        </w:rPr>
        <w:t>MS.</w:t>
      </w:r>
      <w:r>
        <w:rPr>
          <w:rFonts w:ascii="Arial Narrow" w:hAnsi="Arial Narrow"/>
          <w:iCs/>
          <w:sz w:val="24"/>
          <w:szCs w:val="26"/>
        </w:rPr>
        <w:t xml:space="preserve"> Senhora </w:t>
      </w:r>
      <w:r>
        <w:rPr>
          <w:rFonts w:ascii="Arial Narrow" w:hAnsi="Arial Narrow"/>
          <w:b/>
          <w:iCs/>
          <w:sz w:val="24"/>
          <w:szCs w:val="26"/>
        </w:rPr>
        <w:t>Najla Marienne Schuck Mariano</w:t>
      </w:r>
      <w:r>
        <w:rPr>
          <w:rFonts w:ascii="Arial Narrow" w:hAnsi="Arial Narrow"/>
          <w:iCs/>
          <w:sz w:val="24"/>
          <w:szCs w:val="26"/>
        </w:rPr>
        <w:t>, Secretária Municipal de Saúde, Portadora Da CI-RG n.º 648678 SSP/MS e inscrita no CPF/MF nº 855.507.791-53, residente e domiciliada na Rua Gerônimo Martins de Oliveira N° 1515 no Centro de Coronel Sapucaia – MS.</w:t>
      </w:r>
      <w:r>
        <w:rPr>
          <w:rFonts w:asciiTheme="minorHAnsi" w:eastAsia="Calibri" w:hAnsiTheme="minorHAnsi" w:cstheme="minorHAnsi"/>
          <w:sz w:val="22"/>
          <w:szCs w:val="22"/>
        </w:rPr>
        <w:t>e as empresas abaixo qualificadas, doravante denominadas COMPROMITENTES FORNECEDORES, resolvem firmar a presente Ata de REGISTRO DE PREÇOS PARA EVENTUAL E FUTURA AQUISIÇÃO DE MATERIAL DE CONSUMO ODONTOLÓGICO PARA USO NOS CONSULTORIOS ODONTOLOGICOS DAS UNIDADES BASICAS DE SAÚDE DO MUNICIPIO POR UM PERÍODO DE 12 MESES</w:t>
      </w:r>
      <w:r>
        <w:rPr>
          <w:rFonts w:asciiTheme="minorHAnsi" w:hAnsiTheme="minorHAnsi" w:cstheme="minorHAnsi"/>
          <w:b/>
          <w:bCs/>
          <w:sz w:val="22"/>
          <w:szCs w:val="22"/>
        </w:rPr>
        <w:t xml:space="preserve">, </w:t>
      </w:r>
      <w:r>
        <w:rPr>
          <w:rFonts w:asciiTheme="minorHAnsi" w:hAnsiTheme="minorHAnsi" w:cstheme="minorHAnsi"/>
          <w:sz w:val="22"/>
          <w:szCs w:val="22"/>
        </w:rPr>
        <w:t>conforme especificações e quantidades constantes no termo de referência e Proposta de Preços do Edital de Licitação,</w:t>
      </w:r>
      <w:r>
        <w:rPr>
          <w:rFonts w:asciiTheme="minorHAnsi" w:hAnsiTheme="minorHAnsi" w:cstheme="minorHAnsi"/>
          <w:b/>
          <w:sz w:val="22"/>
          <w:szCs w:val="22"/>
        </w:rPr>
        <w:t xml:space="preserve"> </w:t>
      </w:r>
      <w:r>
        <w:rPr>
          <w:rFonts w:asciiTheme="minorHAnsi" w:hAnsiTheme="minorHAnsi" w:cstheme="minorHAnsi"/>
          <w:sz w:val="22"/>
          <w:szCs w:val="22"/>
        </w:rPr>
        <w:t>partes integrantes e inseparáveis desta Ata, assim como a proposta vencedora, independentemente de transcrição.</w:t>
      </w:r>
      <w:r>
        <w:rPr>
          <w:rFonts w:asciiTheme="minorHAnsi" w:eastAsia="Calibri" w:hAnsiTheme="minorHAnsi" w:cstheme="minorHAnsi"/>
          <w:sz w:val="22"/>
          <w:szCs w:val="22"/>
        </w:rPr>
        <w:t xml:space="preserve"> De acordo com o resultado decorrente da licitação na modalidade </w:t>
      </w:r>
      <w:r>
        <w:rPr>
          <w:rFonts w:asciiTheme="minorHAnsi" w:eastAsia="Calibri" w:hAnsiTheme="minorHAnsi" w:cstheme="minorHAnsi"/>
          <w:b/>
          <w:sz w:val="22"/>
          <w:szCs w:val="22"/>
        </w:rPr>
        <w:t>Pregão Eletrônico n.º 003/2023</w:t>
      </w:r>
      <w:r>
        <w:rPr>
          <w:rFonts w:asciiTheme="minorHAnsi" w:eastAsia="Calibri" w:hAnsiTheme="minorHAnsi" w:cstheme="minorHAnsi"/>
          <w:sz w:val="22"/>
          <w:szCs w:val="22"/>
        </w:rPr>
        <w:t xml:space="preserve">, autorizado pelo </w:t>
      </w:r>
      <w:r>
        <w:rPr>
          <w:rFonts w:asciiTheme="minorHAnsi" w:eastAsia="Calibri" w:hAnsiTheme="minorHAnsi" w:cstheme="minorHAnsi"/>
          <w:b/>
          <w:sz w:val="22"/>
          <w:szCs w:val="22"/>
        </w:rPr>
        <w:t>Processo n.º 038/2023</w:t>
      </w:r>
      <w:r>
        <w:rPr>
          <w:rFonts w:asciiTheme="minorHAnsi" w:eastAsia="Calibri" w:hAnsiTheme="minorHAnsi" w:cstheme="minorHAnsi"/>
          <w:sz w:val="22"/>
          <w:szCs w:val="22"/>
        </w:rPr>
        <w:t xml:space="preserve">, regida pela </w:t>
      </w:r>
      <w:r>
        <w:rPr>
          <w:rFonts w:asciiTheme="minorHAnsi" w:eastAsia="Calibri" w:hAnsiTheme="minorHAnsi" w:cstheme="minorHAnsi"/>
          <w:color w:val="000000"/>
          <w:sz w:val="22"/>
          <w:szCs w:val="22"/>
        </w:rPr>
        <w:t>Lei Federal n.º 10.520, de 17 de julho de 2002 e o Decreto Municipal n.º 076/ 2017, de 01 de junho de2017</w:t>
      </w:r>
      <w:r>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Pr>
          <w:rFonts w:asciiTheme="minorHAnsi" w:eastAsia="Calibri" w:hAnsiTheme="minorHAnsi" w:cstheme="minorHAnsi"/>
          <w:color w:val="000000"/>
          <w:sz w:val="22"/>
          <w:szCs w:val="22"/>
        </w:rPr>
        <w:t>:</w:t>
      </w:r>
    </w:p>
    <w:p w:rsidR="00E100D4" w:rsidRDefault="00E100D4" w:rsidP="00E100D4">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Empresa </w:t>
      </w:r>
      <w:r>
        <w:rPr>
          <w:rFonts w:asciiTheme="minorHAnsi" w:eastAsia="Calibri" w:hAnsiTheme="minorHAnsi" w:cstheme="minorHAnsi"/>
          <w:b/>
          <w:sz w:val="22"/>
          <w:szCs w:val="22"/>
        </w:rPr>
        <w:t>CRISMED COMERCIO DE PRODUTOS PARA SAÚDE LTDA</w:t>
      </w:r>
      <w:r>
        <w:rPr>
          <w:rFonts w:asciiTheme="minorHAnsi" w:eastAsia="Calibri" w:hAnsiTheme="minorHAnsi" w:cstheme="minorHAnsi"/>
          <w:sz w:val="22"/>
          <w:szCs w:val="22"/>
        </w:rPr>
        <w:t xml:space="preserve"> , inscrita no CNPJ sob o n.º </w:t>
      </w:r>
      <w:r>
        <w:rPr>
          <w:rFonts w:asciiTheme="minorHAnsi" w:eastAsia="Calibri" w:hAnsiTheme="minorHAnsi" w:cstheme="minorHAnsi"/>
          <w:b/>
          <w:sz w:val="22"/>
          <w:szCs w:val="22"/>
        </w:rPr>
        <w:t>11.606.767/0001-85</w:t>
      </w:r>
      <w:r>
        <w:rPr>
          <w:rFonts w:asciiTheme="minorHAnsi" w:eastAsia="Calibri" w:hAnsiTheme="minorHAnsi" w:cstheme="minorHAnsi"/>
          <w:sz w:val="22"/>
          <w:szCs w:val="22"/>
        </w:rPr>
        <w:t>, com sede à Rua Luiz Segundo Rossoni n° 355, Centro/ na Cidade de</w:t>
      </w:r>
      <w:r w:rsidR="008C78E8">
        <w:rPr>
          <w:rFonts w:asciiTheme="minorHAnsi" w:eastAsia="Calibri" w:hAnsiTheme="minorHAnsi" w:cstheme="minorHAnsi"/>
          <w:sz w:val="22"/>
          <w:szCs w:val="22"/>
        </w:rPr>
        <w:t xml:space="preserve"> </w:t>
      </w:r>
      <w:r>
        <w:rPr>
          <w:rFonts w:asciiTheme="minorHAnsi" w:eastAsia="Calibri" w:hAnsiTheme="minorHAnsi" w:cstheme="minorHAnsi"/>
          <w:sz w:val="22"/>
          <w:szCs w:val="22"/>
        </w:rPr>
        <w:t>Toledo/Pr  , neste ato representada por seu procurador o(a) Senhor(a)</w:t>
      </w:r>
      <w:r w:rsidR="008C78E8" w:rsidRPr="008C78E8">
        <w:t xml:space="preserve"> </w:t>
      </w:r>
      <w:r w:rsidR="008C78E8" w:rsidRPr="008C78E8">
        <w:rPr>
          <w:rFonts w:asciiTheme="minorHAnsi" w:eastAsia="Calibri" w:hAnsiTheme="minorHAnsi" w:cstheme="minorHAnsi"/>
          <w:sz w:val="22"/>
          <w:szCs w:val="22"/>
        </w:rPr>
        <w:t>KELLY HARIADINE DOS SANTOS RIBAS DO COUTO, portador(a) do CPF n.º 072.521.789-86</w:t>
      </w:r>
      <w:r w:rsidR="008C78E8">
        <w:rPr>
          <w:rFonts w:asciiTheme="minorHAnsi" w:eastAsia="Calibri" w:hAnsiTheme="minorHAnsi" w:cstheme="minorHAnsi"/>
          <w:sz w:val="22"/>
          <w:szCs w:val="22"/>
        </w:rPr>
        <w:t xml:space="preserve"> e </w:t>
      </w:r>
      <w:r>
        <w:rPr>
          <w:rFonts w:asciiTheme="minorHAnsi" w:eastAsia="Calibri" w:hAnsiTheme="minorHAnsi" w:cstheme="minorHAnsi"/>
          <w:sz w:val="22"/>
          <w:szCs w:val="22"/>
        </w:rPr>
        <w:t xml:space="preserve"> RG n.º</w:t>
      </w:r>
      <w:r w:rsidR="008C78E8" w:rsidRPr="008C78E8">
        <w:rPr>
          <w:rFonts w:asciiTheme="minorHAnsi" w:eastAsia="Calibri" w:hAnsiTheme="minorHAnsi" w:cstheme="minorHAnsi"/>
          <w:sz w:val="22"/>
          <w:szCs w:val="22"/>
        </w:rPr>
        <w:t xml:space="preserve"> 10.441.472-9</w:t>
      </w:r>
      <w:r>
        <w:rPr>
          <w:rFonts w:asciiTheme="minorHAnsi" w:eastAsia="Calibri" w:hAnsiTheme="minorHAnsi" w:cstheme="minorHAnsi"/>
          <w:sz w:val="22"/>
          <w:szCs w:val="22"/>
        </w:rPr>
        <w:t>.</w:t>
      </w:r>
    </w:p>
    <w:p w:rsidR="00E100D4" w:rsidRDefault="00E100D4" w:rsidP="00E100D4">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CLÁUSULA PRIMEIRA </w:t>
      </w:r>
      <w:r>
        <w:rPr>
          <w:rFonts w:asciiTheme="minorHAnsi" w:eastAsia="Calibri" w:hAnsiTheme="minorHAnsi" w:cstheme="minorHAnsi"/>
          <w:b/>
          <w:bCs/>
          <w:noProof/>
          <w:sz w:val="22"/>
          <w:szCs w:val="22"/>
        </w:rPr>
        <w:t>–</w:t>
      </w:r>
      <w:r>
        <w:rPr>
          <w:rFonts w:asciiTheme="minorHAnsi" w:eastAsia="Calibri" w:hAnsiTheme="minorHAnsi" w:cstheme="minorHAnsi"/>
          <w:b/>
          <w:bCs/>
          <w:sz w:val="22"/>
          <w:szCs w:val="22"/>
        </w:rPr>
        <w:t xml:space="preserve"> OBJETO</w:t>
      </w:r>
    </w:p>
    <w:p w:rsidR="00E100D4" w:rsidRDefault="00E100D4" w:rsidP="00E100D4">
      <w:pPr>
        <w:pStyle w:val="PargrafodaLista"/>
        <w:numPr>
          <w:ilvl w:val="1"/>
          <w:numId w:val="2"/>
        </w:numPr>
        <w:tabs>
          <w:tab w:val="left" w:pos="1276"/>
        </w:tabs>
        <w:ind w:left="0" w:firstLine="0"/>
        <w:contextualSpacing/>
        <w:jc w:val="both"/>
        <w:rPr>
          <w:rFonts w:ascii="Arial Narrow" w:hAnsi="Arial Narrow" w:cstheme="minorHAnsi"/>
          <w:b/>
          <w:i/>
        </w:rPr>
      </w:pPr>
      <w:r>
        <w:rPr>
          <w:rFonts w:asciiTheme="minorHAnsi" w:eastAsia="Calibri" w:hAnsiTheme="minorHAnsi" w:cstheme="minorHAnsi"/>
          <w:sz w:val="22"/>
          <w:szCs w:val="22"/>
        </w:rPr>
        <w:t xml:space="preserve">O objeto da presente </w:t>
      </w:r>
      <w:r>
        <w:rPr>
          <w:rFonts w:asciiTheme="minorHAnsi" w:eastAsia="Calibri" w:hAnsiTheme="minorHAnsi" w:cstheme="minorHAnsi"/>
          <w:bCs/>
          <w:sz w:val="22"/>
          <w:szCs w:val="22"/>
        </w:rPr>
        <w:t>Ata de REGISTRO DE PREÇOS PARA EVENTUAL E FUTURA AQUISIÇÃO DE MATERIAL DE CONSUMO ODONTOLÓGICO PARA USO NOS CONSULTORIOS ODONTOLOGICOS DAS UNIDADES BASICAS DE SAÚDE DO MUNICIPIO POR UM PERÍODO DE 12 MESES</w:t>
      </w:r>
      <w:r>
        <w:rPr>
          <w:rFonts w:asciiTheme="minorHAnsi" w:hAnsiTheme="minorHAnsi" w:cstheme="minorHAnsi"/>
          <w:b/>
          <w:bCs/>
          <w:sz w:val="22"/>
          <w:szCs w:val="22"/>
        </w:rPr>
        <w:t xml:space="preserve">, </w:t>
      </w:r>
      <w:r>
        <w:rPr>
          <w:rFonts w:asciiTheme="minorHAnsi" w:hAnsiTheme="minorHAnsi" w:cstheme="minorHAnsi"/>
          <w:sz w:val="22"/>
          <w:szCs w:val="22"/>
        </w:rPr>
        <w:t>conforme especificações e quantidades constantes no termo de referência e Proposta de Preços do Edital de Licitação,</w:t>
      </w:r>
      <w:r>
        <w:rPr>
          <w:rFonts w:asciiTheme="minorHAnsi" w:hAnsiTheme="minorHAnsi" w:cstheme="minorHAnsi"/>
          <w:b/>
          <w:sz w:val="22"/>
          <w:szCs w:val="22"/>
        </w:rPr>
        <w:t xml:space="preserve"> </w:t>
      </w:r>
      <w:r>
        <w:rPr>
          <w:rFonts w:asciiTheme="minorHAnsi" w:hAnsiTheme="minorHAnsi" w:cstheme="minorHAnsi"/>
          <w:sz w:val="22"/>
          <w:szCs w:val="22"/>
        </w:rPr>
        <w:t>partes integrantes e inseparáveis desta Ata, assim como a proposta vencedora, independentemente de transcrição</w:t>
      </w:r>
      <w:r>
        <w:rPr>
          <w:rFonts w:asciiTheme="minorHAnsi" w:eastAsia="Calibri" w:hAnsiTheme="minorHAnsi" w:cstheme="minorHAnsi"/>
          <w:sz w:val="22"/>
          <w:szCs w:val="22"/>
        </w:rPr>
        <w:t>, pelo prazo de validade do registro.</w:t>
      </w:r>
    </w:p>
    <w:p w:rsidR="00E100D4" w:rsidRDefault="00E100D4" w:rsidP="00E100D4">
      <w:pPr>
        <w:widowControl w:val="0"/>
        <w:autoSpaceDE w:val="0"/>
        <w:autoSpaceDN w:val="0"/>
        <w:adjustRightInd w:val="0"/>
        <w:ind w:right="-1"/>
        <w:jc w:val="both"/>
        <w:rPr>
          <w:rFonts w:asciiTheme="minorHAnsi" w:eastAsia="Calibri" w:hAnsiTheme="minorHAnsi" w:cstheme="minorHAnsi"/>
          <w:sz w:val="22"/>
          <w:szCs w:val="22"/>
        </w:rPr>
      </w:pPr>
    </w:p>
    <w:p w:rsidR="00E100D4" w:rsidRDefault="00E100D4" w:rsidP="00E100D4">
      <w:pPr>
        <w:widowControl w:val="0"/>
        <w:numPr>
          <w:ilvl w:val="1"/>
          <w:numId w:val="4"/>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E100D4" w:rsidRDefault="00E100D4" w:rsidP="00E100D4">
      <w:pPr>
        <w:widowControl w:val="0"/>
        <w:autoSpaceDE w:val="0"/>
        <w:autoSpaceDN w:val="0"/>
        <w:adjustRightInd w:val="0"/>
        <w:ind w:right="-1"/>
        <w:jc w:val="both"/>
        <w:rPr>
          <w:rFonts w:asciiTheme="minorHAnsi" w:eastAsia="Calibri" w:hAnsiTheme="minorHAnsi" w:cstheme="minorHAnsi"/>
          <w:sz w:val="22"/>
          <w:szCs w:val="22"/>
        </w:rPr>
      </w:pPr>
    </w:p>
    <w:p w:rsidR="00E100D4" w:rsidRDefault="00E100D4" w:rsidP="00E100D4">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CLÁUSULA SEGUNDA </w:t>
      </w:r>
      <w:r>
        <w:rPr>
          <w:rFonts w:asciiTheme="minorHAnsi" w:eastAsia="Calibri" w:hAnsiTheme="minorHAnsi" w:cstheme="minorHAnsi"/>
          <w:b/>
          <w:bCs/>
          <w:noProof/>
          <w:sz w:val="22"/>
          <w:szCs w:val="22"/>
        </w:rPr>
        <w:t>–</w:t>
      </w:r>
      <w:r>
        <w:rPr>
          <w:rFonts w:asciiTheme="minorHAnsi" w:eastAsia="Calibri" w:hAnsiTheme="minorHAnsi" w:cstheme="minorHAnsi"/>
          <w:b/>
          <w:bCs/>
          <w:sz w:val="22"/>
          <w:szCs w:val="22"/>
        </w:rPr>
        <w:t xml:space="preserve"> DO PREÇO E REVISÃO</w:t>
      </w:r>
    </w:p>
    <w:p w:rsidR="00E100D4" w:rsidRDefault="00E100D4" w:rsidP="00E100D4">
      <w:pPr>
        <w:widowControl w:val="0"/>
        <w:numPr>
          <w:ilvl w:val="0"/>
          <w:numId w:val="6"/>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Pr>
          <w:rFonts w:asciiTheme="minorHAnsi" w:eastAsia="Calibri" w:hAnsiTheme="minorHAnsi" w:cstheme="minorHAnsi"/>
          <w:sz w:val="22"/>
          <w:szCs w:val="22"/>
        </w:rPr>
        <w:t xml:space="preserve">O preço unitário para execução do objeto de registro será o de menor preço inscrito na Ata do </w:t>
      </w:r>
      <w:r>
        <w:rPr>
          <w:rFonts w:asciiTheme="minorHAnsi" w:eastAsia="Calibri" w:hAnsiTheme="minorHAnsi" w:cstheme="minorHAnsi"/>
          <w:b/>
          <w:sz w:val="22"/>
          <w:szCs w:val="22"/>
        </w:rPr>
        <w:t>Pregão Eletrônico n.º 003/2023</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Processo n.º 038/2023</w:t>
      </w:r>
      <w:r>
        <w:rPr>
          <w:rFonts w:asciiTheme="minorHAnsi" w:eastAsia="Calibri" w:hAnsiTheme="minorHAnsi" w:cstheme="minorHAnsi"/>
          <w:sz w:val="22"/>
          <w:szCs w:val="22"/>
        </w:rPr>
        <w:t>, de acordo com a ordem de classificação das respectivas propostas de que integram este instrumento independente de transcrição, pelo prazo de validade do</w:t>
      </w:r>
      <w:r>
        <w:rPr>
          <w:rFonts w:asciiTheme="minorHAnsi" w:eastAsia="Calibri" w:hAnsiTheme="minorHAnsi" w:cstheme="minorHAnsi"/>
          <w:color w:val="000000"/>
          <w:sz w:val="22"/>
          <w:szCs w:val="22"/>
        </w:rPr>
        <w:t xml:space="preserve"> registro, conforme segue:</w:t>
      </w:r>
    </w:p>
    <w:tbl>
      <w:tblPr>
        <w:tblW w:w="9901" w:type="dxa"/>
        <w:tblInd w:w="55" w:type="dxa"/>
        <w:tblCellMar>
          <w:left w:w="70" w:type="dxa"/>
          <w:right w:w="70" w:type="dxa"/>
        </w:tblCellMar>
        <w:tblLook w:val="04A0" w:firstRow="1" w:lastRow="0" w:firstColumn="1" w:lastColumn="0" w:noHBand="0" w:noVBand="1"/>
      </w:tblPr>
      <w:tblGrid>
        <w:gridCol w:w="552"/>
        <w:gridCol w:w="474"/>
        <w:gridCol w:w="469"/>
        <w:gridCol w:w="639"/>
        <w:gridCol w:w="3083"/>
        <w:gridCol w:w="475"/>
        <w:gridCol w:w="1106"/>
        <w:gridCol w:w="1290"/>
        <w:gridCol w:w="870"/>
        <w:gridCol w:w="943"/>
      </w:tblGrid>
      <w:tr w:rsidR="00E100D4" w:rsidTr="00E100D4">
        <w:trPr>
          <w:trHeight w:val="210"/>
        </w:trPr>
        <w:tc>
          <w:tcPr>
            <w:tcW w:w="552"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74"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69"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639"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3083"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75"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1106"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129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87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943" w:type="dxa"/>
            <w:vAlign w:val="center"/>
            <w:hideMark/>
          </w:tcPr>
          <w:p w:rsidR="00E100D4" w:rsidRDefault="00E100D4">
            <w:pPr>
              <w:spacing w:after="200"/>
              <w:rPr>
                <w:rFonts w:asciiTheme="minorHAnsi" w:eastAsiaTheme="minorHAnsi" w:hAnsiTheme="minorHAnsi" w:cstheme="minorBidi"/>
                <w:sz w:val="22"/>
                <w:szCs w:val="22"/>
                <w:lang w:eastAsia="en-US"/>
              </w:rPr>
            </w:pPr>
          </w:p>
        </w:tc>
      </w:tr>
      <w:tr w:rsidR="00E100D4" w:rsidTr="00E100D4">
        <w:trPr>
          <w:trHeight w:val="300"/>
        </w:trPr>
        <w:tc>
          <w:tcPr>
            <w:tcW w:w="9901" w:type="dxa"/>
            <w:gridSpan w:val="10"/>
            <w:vAlign w:val="center"/>
          </w:tcPr>
          <w:tbl>
            <w:tblPr>
              <w:tblW w:w="9760" w:type="dxa"/>
              <w:tblCellMar>
                <w:left w:w="70" w:type="dxa"/>
                <w:right w:w="70" w:type="dxa"/>
              </w:tblCellMar>
              <w:tblLook w:val="04A0" w:firstRow="1" w:lastRow="0" w:firstColumn="1" w:lastColumn="0" w:noHBand="0" w:noVBand="1"/>
            </w:tblPr>
            <w:tblGrid>
              <w:gridCol w:w="452"/>
              <w:gridCol w:w="399"/>
              <w:gridCol w:w="399"/>
              <w:gridCol w:w="523"/>
              <w:gridCol w:w="3625"/>
              <w:gridCol w:w="400"/>
              <w:gridCol w:w="1054"/>
              <w:gridCol w:w="1188"/>
              <w:gridCol w:w="860"/>
              <w:gridCol w:w="860"/>
            </w:tblGrid>
            <w:tr w:rsidR="00E100D4">
              <w:trPr>
                <w:trHeight w:val="210"/>
              </w:trPr>
              <w:tc>
                <w:tcPr>
                  <w:tcW w:w="4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5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368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106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120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860" w:type="dxa"/>
                  <w:vAlign w:val="center"/>
                  <w:hideMark/>
                </w:tcPr>
                <w:p w:rsidR="00E100D4" w:rsidRDefault="00E100D4">
                  <w:pPr>
                    <w:spacing w:after="200"/>
                    <w:rPr>
                      <w:rFonts w:asciiTheme="minorHAnsi" w:eastAsiaTheme="minorHAnsi" w:hAnsiTheme="minorHAnsi" w:cstheme="minorBidi"/>
                      <w:sz w:val="22"/>
                      <w:szCs w:val="22"/>
                      <w:lang w:eastAsia="en-US"/>
                    </w:rPr>
                  </w:pPr>
                </w:p>
              </w:tc>
              <w:tc>
                <w:tcPr>
                  <w:tcW w:w="860" w:type="dxa"/>
                  <w:vAlign w:val="center"/>
                  <w:hideMark/>
                </w:tcPr>
                <w:p w:rsidR="00E100D4" w:rsidRDefault="00E100D4">
                  <w:pPr>
                    <w:spacing w:after="200"/>
                    <w:rPr>
                      <w:rFonts w:asciiTheme="minorHAnsi" w:eastAsiaTheme="minorHAnsi" w:hAnsiTheme="minorHAnsi" w:cstheme="minorBidi"/>
                      <w:sz w:val="22"/>
                      <w:szCs w:val="22"/>
                      <w:lang w:eastAsia="en-US"/>
                    </w:rPr>
                  </w:pPr>
                </w:p>
              </w:tc>
            </w:tr>
            <w:tr w:rsidR="00E100D4">
              <w:trPr>
                <w:trHeight w:val="300"/>
              </w:trPr>
              <w:tc>
                <w:tcPr>
                  <w:tcW w:w="9760" w:type="dxa"/>
                  <w:gridSpan w:val="10"/>
                  <w:vAlign w:val="center"/>
                  <w:hideMark/>
                </w:tcPr>
                <w:p w:rsidR="008D3361" w:rsidRDefault="008D3361">
                  <w:pPr>
                    <w:spacing w:after="0" w:line="240" w:lineRule="auto"/>
                    <w:jc w:val="center"/>
                    <w:rPr>
                      <w:rFonts w:ascii="Tahoma" w:hAnsi="Tahoma" w:cs="Tahoma"/>
                      <w:b/>
                      <w:bCs/>
                      <w:color w:val="000000"/>
                      <w:sz w:val="16"/>
                      <w:szCs w:val="16"/>
                      <w:lang w:eastAsia="en-US"/>
                    </w:rPr>
                  </w:pPr>
                </w:p>
                <w:p w:rsidR="00E100D4" w:rsidRDefault="00E100D4">
                  <w:pPr>
                    <w:spacing w:after="0" w:line="240" w:lineRule="auto"/>
                    <w:jc w:val="center"/>
                    <w:rPr>
                      <w:rFonts w:ascii="Tahoma" w:hAnsi="Tahoma" w:cs="Tahoma"/>
                      <w:b/>
                      <w:bCs/>
                      <w:color w:val="000000"/>
                      <w:sz w:val="16"/>
                      <w:szCs w:val="16"/>
                      <w:lang w:eastAsia="en-US"/>
                    </w:rPr>
                  </w:pPr>
                  <w:r>
                    <w:rPr>
                      <w:rFonts w:ascii="Tahoma" w:hAnsi="Tahoma" w:cs="Tahoma"/>
                      <w:b/>
                      <w:bCs/>
                      <w:color w:val="000000"/>
                      <w:sz w:val="16"/>
                      <w:szCs w:val="16"/>
                      <w:lang w:eastAsia="en-US"/>
                    </w:rPr>
                    <w:t>CR</w:t>
                  </w:r>
                  <w:r w:rsidR="0039620D">
                    <w:rPr>
                      <w:rFonts w:ascii="Tahoma" w:hAnsi="Tahoma" w:cs="Tahoma"/>
                      <w:b/>
                      <w:bCs/>
                      <w:color w:val="000000"/>
                      <w:sz w:val="16"/>
                      <w:szCs w:val="16"/>
                      <w:lang w:eastAsia="en-US"/>
                    </w:rPr>
                    <w:t>IS</w:t>
                  </w:r>
                  <w:r>
                    <w:rPr>
                      <w:rFonts w:ascii="Tahoma" w:hAnsi="Tahoma" w:cs="Tahoma"/>
                      <w:b/>
                      <w:bCs/>
                      <w:color w:val="000000"/>
                      <w:sz w:val="16"/>
                      <w:szCs w:val="16"/>
                      <w:lang w:eastAsia="en-US"/>
                    </w:rPr>
                    <w:t>MED REPRESE</w:t>
                  </w:r>
                  <w:r w:rsidR="0039620D">
                    <w:rPr>
                      <w:rFonts w:ascii="Tahoma" w:hAnsi="Tahoma" w:cs="Tahoma"/>
                      <w:b/>
                      <w:bCs/>
                      <w:color w:val="000000"/>
                      <w:sz w:val="16"/>
                      <w:szCs w:val="16"/>
                      <w:lang w:eastAsia="en-US"/>
                    </w:rPr>
                    <w:t>NTA</w:t>
                  </w:r>
                  <w:bookmarkStart w:id="0" w:name="_GoBack"/>
                  <w:bookmarkEnd w:id="0"/>
                  <w:r>
                    <w:rPr>
                      <w:rFonts w:ascii="Tahoma" w:hAnsi="Tahoma" w:cs="Tahoma"/>
                      <w:b/>
                      <w:bCs/>
                      <w:color w:val="000000"/>
                      <w:sz w:val="16"/>
                      <w:szCs w:val="16"/>
                      <w:lang w:eastAsia="en-US"/>
                    </w:rPr>
                    <w:t>COES COMERCIAIS LTDA</w:t>
                  </w:r>
                </w:p>
              </w:tc>
            </w:tr>
            <w:tr w:rsidR="00E100D4">
              <w:trPr>
                <w:trHeight w:val="165"/>
              </w:trPr>
              <w:tc>
                <w:tcPr>
                  <w:tcW w:w="4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5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368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4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106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120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860" w:type="dxa"/>
                  <w:vAlign w:val="center"/>
                  <w:hideMark/>
                </w:tcPr>
                <w:p w:rsidR="00E100D4" w:rsidRDefault="00E100D4">
                  <w:pPr>
                    <w:spacing w:after="0"/>
                    <w:rPr>
                      <w:rFonts w:asciiTheme="minorHAnsi" w:eastAsiaTheme="minorHAnsi" w:hAnsiTheme="minorHAnsi" w:cstheme="minorBidi"/>
                      <w:sz w:val="22"/>
                      <w:szCs w:val="22"/>
                      <w:lang w:eastAsia="en-US"/>
                    </w:rPr>
                  </w:pPr>
                </w:p>
              </w:tc>
              <w:tc>
                <w:tcPr>
                  <w:tcW w:w="860" w:type="dxa"/>
                  <w:vAlign w:val="center"/>
                  <w:hideMark/>
                </w:tcPr>
                <w:p w:rsidR="00E100D4" w:rsidRDefault="00E100D4">
                  <w:pPr>
                    <w:spacing w:after="0"/>
                    <w:rPr>
                      <w:rFonts w:asciiTheme="minorHAnsi" w:eastAsiaTheme="minorHAnsi" w:hAnsiTheme="minorHAnsi" w:cstheme="minorBidi"/>
                      <w:sz w:val="22"/>
                      <w:szCs w:val="22"/>
                      <w:lang w:eastAsia="en-US"/>
                    </w:rPr>
                  </w:pPr>
                </w:p>
              </w:tc>
            </w:tr>
            <w:tr w:rsidR="00E100D4">
              <w:trPr>
                <w:trHeight w:val="330"/>
              </w:trPr>
              <w:tc>
                <w:tcPr>
                  <w:tcW w:w="400" w:type="dxa"/>
                  <w:tcBorders>
                    <w:top w:val="single" w:sz="4" w:space="0" w:color="auto"/>
                    <w:left w:val="single" w:sz="4" w:space="0" w:color="auto"/>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ANEXO</w:t>
                  </w:r>
                </w:p>
              </w:tc>
              <w:tc>
                <w:tcPr>
                  <w:tcW w:w="40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LOTE</w:t>
                  </w:r>
                </w:p>
              </w:tc>
              <w:tc>
                <w:tcPr>
                  <w:tcW w:w="40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ITEM</w:t>
                  </w:r>
                </w:p>
              </w:tc>
              <w:tc>
                <w:tcPr>
                  <w:tcW w:w="50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CÓD.</w:t>
                  </w:r>
                </w:p>
              </w:tc>
              <w:tc>
                <w:tcPr>
                  <w:tcW w:w="368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ESPECIFICAÇÃO DO ITEM</w:t>
                  </w:r>
                </w:p>
              </w:tc>
              <w:tc>
                <w:tcPr>
                  <w:tcW w:w="40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UNID</w:t>
                  </w:r>
                </w:p>
              </w:tc>
              <w:tc>
                <w:tcPr>
                  <w:tcW w:w="106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QUANTIDADE</w:t>
                  </w:r>
                </w:p>
              </w:tc>
              <w:tc>
                <w:tcPr>
                  <w:tcW w:w="120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 xml:space="preserve">MARCA </w:t>
                  </w:r>
                </w:p>
              </w:tc>
              <w:tc>
                <w:tcPr>
                  <w:tcW w:w="86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VALOR UNIT.</w:t>
                  </w:r>
                </w:p>
              </w:tc>
              <w:tc>
                <w:tcPr>
                  <w:tcW w:w="860" w:type="dxa"/>
                  <w:tcBorders>
                    <w:top w:val="single" w:sz="4" w:space="0" w:color="auto"/>
                    <w:left w:val="nil"/>
                    <w:bottom w:val="single" w:sz="4" w:space="0" w:color="auto"/>
                    <w:right w:val="single" w:sz="4" w:space="0" w:color="auto"/>
                  </w:tcBorders>
                  <w:vAlign w:val="center"/>
                  <w:hideMark/>
                </w:tcPr>
                <w:p w:rsidR="00E100D4" w:rsidRDefault="00E100D4">
                  <w:pPr>
                    <w:spacing w:after="0" w:line="240" w:lineRule="auto"/>
                    <w:jc w:val="center"/>
                    <w:rPr>
                      <w:rFonts w:ascii="Tahoma" w:hAnsi="Tahoma" w:cs="Tahoma"/>
                      <w:sz w:val="10"/>
                      <w:szCs w:val="10"/>
                      <w:lang w:eastAsia="en-US"/>
                    </w:rPr>
                  </w:pPr>
                  <w:r>
                    <w:rPr>
                      <w:rFonts w:ascii="Tahoma" w:hAnsi="Tahoma" w:cs="Tahoma"/>
                      <w:sz w:val="10"/>
                      <w:szCs w:val="10"/>
                      <w:lang w:eastAsia="en-US"/>
                    </w:rPr>
                    <w:t>VALOR TOTAL</w:t>
                  </w:r>
                </w:p>
              </w:tc>
            </w:tr>
            <w:tr w:rsidR="00E100D4">
              <w:trPr>
                <w:trHeight w:val="720"/>
              </w:trPr>
              <w:tc>
                <w:tcPr>
                  <w:tcW w:w="400" w:type="dxa"/>
                  <w:tcBorders>
                    <w:top w:val="nil"/>
                    <w:left w:val="single" w:sz="4" w:space="0" w:color="000000"/>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I</w:t>
                  </w:r>
                </w:p>
              </w:tc>
              <w:tc>
                <w:tcPr>
                  <w:tcW w:w="40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w:t>
                  </w:r>
                </w:p>
              </w:tc>
              <w:tc>
                <w:tcPr>
                  <w:tcW w:w="40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21</w:t>
                  </w:r>
                </w:p>
              </w:tc>
              <w:tc>
                <w:tcPr>
                  <w:tcW w:w="50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20781</w:t>
                  </w:r>
                </w:p>
              </w:tc>
              <w:tc>
                <w:tcPr>
                  <w:tcW w:w="3680" w:type="dxa"/>
                  <w:tcBorders>
                    <w:top w:val="nil"/>
                    <w:left w:val="nil"/>
                    <w:bottom w:val="single" w:sz="4" w:space="0" w:color="000000"/>
                    <w:right w:val="single" w:sz="4" w:space="0" w:color="000000"/>
                  </w:tcBorders>
                  <w:vAlign w:val="center"/>
                  <w:hideMark/>
                </w:tcPr>
                <w:p w:rsidR="00E100D4" w:rsidRDefault="00E100D4">
                  <w:pPr>
                    <w:spacing w:after="0" w:line="240" w:lineRule="auto"/>
                    <w:jc w:val="both"/>
                    <w:rPr>
                      <w:rFonts w:ascii="Tahoma" w:hAnsi="Tahoma" w:cs="Tahoma"/>
                      <w:color w:val="000000"/>
                      <w:sz w:val="14"/>
                      <w:szCs w:val="14"/>
                      <w:lang w:eastAsia="en-US"/>
                    </w:rPr>
                  </w:pPr>
                  <w:r>
                    <w:rPr>
                      <w:rFonts w:ascii="Tahoma" w:hAnsi="Tahoma" w:cs="Tahoma"/>
                      <w:color w:val="000000"/>
                      <w:sz w:val="14"/>
                      <w:szCs w:val="14"/>
                      <w:lang w:eastAsia="en-US"/>
                    </w:rPr>
                    <w:t>COMPRESSAS DE GAZE HIDRÓFILA  COM 8 CAMADAS,  5 DOBRAS, 11 FIOS, 100% ALGODÃO, CONTENDO 500 UNIDADES, DIMENSÃO FECHADA, 7,5 CM X 7,5CM , ABERTA 15 CM POR 30 CM.</w:t>
                  </w:r>
                </w:p>
              </w:tc>
              <w:tc>
                <w:tcPr>
                  <w:tcW w:w="40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UN</w:t>
                  </w:r>
                </w:p>
              </w:tc>
              <w:tc>
                <w:tcPr>
                  <w:tcW w:w="106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130,00</w:t>
                  </w:r>
                </w:p>
              </w:tc>
              <w:tc>
                <w:tcPr>
                  <w:tcW w:w="1200" w:type="dxa"/>
                  <w:tcBorders>
                    <w:top w:val="nil"/>
                    <w:left w:val="nil"/>
                    <w:bottom w:val="single" w:sz="4" w:space="0" w:color="000000"/>
                    <w:right w:val="single" w:sz="4" w:space="0" w:color="000000"/>
                  </w:tcBorders>
                  <w:vAlign w:val="center"/>
                  <w:hideMark/>
                </w:tcPr>
                <w:p w:rsidR="00E100D4" w:rsidRDefault="00E100D4">
                  <w:pPr>
                    <w:spacing w:after="0" w:line="240" w:lineRule="auto"/>
                    <w:jc w:val="center"/>
                    <w:rPr>
                      <w:rFonts w:ascii="Tahoma" w:hAnsi="Tahoma" w:cs="Tahoma"/>
                      <w:color w:val="000000"/>
                      <w:sz w:val="14"/>
                      <w:szCs w:val="14"/>
                      <w:lang w:eastAsia="en-US"/>
                    </w:rPr>
                  </w:pPr>
                  <w:r>
                    <w:rPr>
                      <w:rFonts w:ascii="Tahoma" w:hAnsi="Tahoma" w:cs="Tahoma"/>
                      <w:color w:val="000000"/>
                      <w:sz w:val="14"/>
                      <w:szCs w:val="14"/>
                      <w:lang w:eastAsia="en-US"/>
                    </w:rPr>
                    <w:t>ERIMAX</w:t>
                  </w:r>
                </w:p>
              </w:tc>
              <w:tc>
                <w:tcPr>
                  <w:tcW w:w="860" w:type="dxa"/>
                  <w:tcBorders>
                    <w:top w:val="nil"/>
                    <w:left w:val="nil"/>
                    <w:bottom w:val="single" w:sz="4" w:space="0" w:color="000000"/>
                    <w:right w:val="single" w:sz="4" w:space="0" w:color="000000"/>
                  </w:tcBorders>
                  <w:vAlign w:val="center"/>
                  <w:hideMark/>
                </w:tcPr>
                <w:p w:rsidR="00E100D4" w:rsidRDefault="00E100D4">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16,89</w:t>
                  </w:r>
                </w:p>
              </w:tc>
              <w:tc>
                <w:tcPr>
                  <w:tcW w:w="860" w:type="dxa"/>
                  <w:tcBorders>
                    <w:top w:val="nil"/>
                    <w:left w:val="nil"/>
                    <w:bottom w:val="single" w:sz="4" w:space="0" w:color="000000"/>
                    <w:right w:val="single" w:sz="4" w:space="0" w:color="000000"/>
                  </w:tcBorders>
                  <w:vAlign w:val="center"/>
                  <w:hideMark/>
                </w:tcPr>
                <w:p w:rsidR="00E100D4" w:rsidRDefault="00E100D4">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2.195,70</w:t>
                  </w:r>
                </w:p>
              </w:tc>
            </w:tr>
            <w:tr w:rsidR="00E100D4">
              <w:trPr>
                <w:trHeight w:val="210"/>
              </w:trPr>
              <w:tc>
                <w:tcPr>
                  <w:tcW w:w="8040" w:type="dxa"/>
                  <w:gridSpan w:val="8"/>
                  <w:tcBorders>
                    <w:top w:val="single" w:sz="4" w:space="0" w:color="000000"/>
                    <w:left w:val="single" w:sz="4" w:space="0" w:color="000000"/>
                    <w:bottom w:val="single" w:sz="4" w:space="0" w:color="000000"/>
                    <w:right w:val="single" w:sz="4" w:space="0" w:color="000000"/>
                  </w:tcBorders>
                  <w:vAlign w:val="center"/>
                  <w:hideMark/>
                </w:tcPr>
                <w:p w:rsidR="00E100D4" w:rsidRDefault="00E100D4">
                  <w:pPr>
                    <w:spacing w:after="0" w:line="240" w:lineRule="auto"/>
                    <w:jc w:val="right"/>
                    <w:rPr>
                      <w:rFonts w:ascii="Tahoma" w:hAnsi="Tahoma" w:cs="Tahoma"/>
                      <w:color w:val="000000"/>
                      <w:sz w:val="14"/>
                      <w:szCs w:val="14"/>
                      <w:lang w:eastAsia="en-US"/>
                    </w:rPr>
                  </w:pPr>
                  <w:r>
                    <w:rPr>
                      <w:rFonts w:ascii="Tahoma" w:hAnsi="Tahoma" w:cs="Tahoma"/>
                      <w:color w:val="000000"/>
                      <w:sz w:val="14"/>
                      <w:szCs w:val="14"/>
                      <w:lang w:eastAsia="en-US"/>
                    </w:rPr>
                    <w:t>VALOR TOTAL</w:t>
                  </w:r>
                </w:p>
              </w:tc>
              <w:tc>
                <w:tcPr>
                  <w:tcW w:w="1720" w:type="dxa"/>
                  <w:gridSpan w:val="2"/>
                  <w:tcBorders>
                    <w:top w:val="single" w:sz="4" w:space="0" w:color="000000"/>
                    <w:left w:val="nil"/>
                    <w:bottom w:val="single" w:sz="4" w:space="0" w:color="000000"/>
                    <w:right w:val="single" w:sz="4" w:space="0" w:color="000000"/>
                  </w:tcBorders>
                  <w:noWrap/>
                  <w:vAlign w:val="center"/>
                  <w:hideMark/>
                </w:tcPr>
                <w:p w:rsidR="00E100D4" w:rsidRDefault="00E100D4">
                  <w:pPr>
                    <w:spacing w:after="0" w:line="240" w:lineRule="auto"/>
                    <w:jc w:val="center"/>
                    <w:rPr>
                      <w:rFonts w:ascii="Tahoma" w:hAnsi="Tahoma" w:cs="Tahoma"/>
                      <w:b/>
                      <w:bCs/>
                      <w:color w:val="000000"/>
                      <w:sz w:val="16"/>
                      <w:szCs w:val="16"/>
                      <w:lang w:eastAsia="en-US"/>
                    </w:rPr>
                  </w:pPr>
                  <w:r>
                    <w:rPr>
                      <w:rFonts w:ascii="Tahoma" w:hAnsi="Tahoma" w:cs="Tahoma"/>
                      <w:b/>
                      <w:bCs/>
                      <w:color w:val="000000"/>
                      <w:sz w:val="16"/>
                      <w:szCs w:val="16"/>
                      <w:lang w:eastAsia="en-US"/>
                    </w:rPr>
                    <w:t>2.195,70</w:t>
                  </w:r>
                </w:p>
              </w:tc>
            </w:tr>
          </w:tbl>
          <w:p w:rsidR="00E100D4" w:rsidRDefault="00E100D4">
            <w:pPr>
              <w:spacing w:after="0" w:line="240" w:lineRule="auto"/>
              <w:jc w:val="center"/>
              <w:rPr>
                <w:rFonts w:ascii="Tahoma" w:hAnsi="Tahoma" w:cs="Tahoma"/>
                <w:b/>
                <w:bCs/>
                <w:color w:val="000000"/>
                <w:sz w:val="16"/>
                <w:szCs w:val="16"/>
                <w:lang w:eastAsia="en-US"/>
              </w:rPr>
            </w:pPr>
          </w:p>
          <w:tbl>
            <w:tblPr>
              <w:tblW w:w="4688" w:type="dxa"/>
              <w:tblCellMar>
                <w:left w:w="70" w:type="dxa"/>
                <w:right w:w="70" w:type="dxa"/>
              </w:tblCellMar>
              <w:tblLook w:val="04A0" w:firstRow="1" w:lastRow="0" w:firstColumn="1" w:lastColumn="0" w:noHBand="0" w:noVBand="1"/>
            </w:tblPr>
            <w:tblGrid>
              <w:gridCol w:w="453"/>
              <w:gridCol w:w="399"/>
              <w:gridCol w:w="399"/>
              <w:gridCol w:w="523"/>
              <w:gridCol w:w="1194"/>
              <w:gridCol w:w="860"/>
              <w:gridCol w:w="860"/>
            </w:tblGrid>
            <w:tr w:rsidR="008D3361" w:rsidTr="008D3361">
              <w:trPr>
                <w:trHeight w:val="210"/>
              </w:trPr>
              <w:tc>
                <w:tcPr>
                  <w:tcW w:w="453"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399"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399"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523"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1194"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860" w:type="dxa"/>
                  <w:vAlign w:val="center"/>
                  <w:hideMark/>
                </w:tcPr>
                <w:p w:rsidR="008D3361" w:rsidRDefault="008D3361">
                  <w:pPr>
                    <w:spacing w:after="200"/>
                    <w:rPr>
                      <w:rFonts w:asciiTheme="minorHAnsi" w:eastAsiaTheme="minorHAnsi" w:hAnsiTheme="minorHAnsi" w:cstheme="minorBidi"/>
                      <w:sz w:val="22"/>
                      <w:szCs w:val="22"/>
                      <w:lang w:eastAsia="en-US"/>
                    </w:rPr>
                  </w:pPr>
                </w:p>
              </w:tc>
              <w:tc>
                <w:tcPr>
                  <w:tcW w:w="860" w:type="dxa"/>
                  <w:vAlign w:val="center"/>
                  <w:hideMark/>
                </w:tcPr>
                <w:p w:rsidR="008D3361" w:rsidRDefault="008D3361">
                  <w:pPr>
                    <w:spacing w:after="200"/>
                    <w:rPr>
                      <w:rFonts w:asciiTheme="minorHAnsi" w:eastAsiaTheme="minorHAnsi" w:hAnsiTheme="minorHAnsi" w:cstheme="minorBidi"/>
                      <w:sz w:val="22"/>
                      <w:szCs w:val="22"/>
                      <w:lang w:eastAsia="en-US"/>
                    </w:rPr>
                  </w:pPr>
                </w:p>
              </w:tc>
            </w:tr>
          </w:tbl>
          <w:p w:rsidR="00E100D4" w:rsidRDefault="00E100D4">
            <w:pPr>
              <w:spacing w:after="0" w:line="240" w:lineRule="auto"/>
              <w:jc w:val="center"/>
              <w:rPr>
                <w:rFonts w:ascii="Tahoma" w:hAnsi="Tahoma" w:cs="Tahoma"/>
                <w:b/>
                <w:bCs/>
                <w:color w:val="000000"/>
                <w:sz w:val="16"/>
                <w:szCs w:val="16"/>
                <w:lang w:eastAsia="en-US"/>
              </w:rPr>
            </w:pPr>
          </w:p>
        </w:tc>
      </w:tr>
    </w:tbl>
    <w:p w:rsidR="00E100D4" w:rsidRDefault="00E100D4" w:rsidP="00E100D4">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Os preços serão fixos e irreajustáveis durante a vigência do Registro de Preços.</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2"/>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Pr>
          <w:rFonts w:asciiTheme="minorHAnsi" w:eastAsia="Calibri" w:hAnsiTheme="minorHAnsi" w:cstheme="minorHAnsi"/>
          <w:sz w:val="22"/>
          <w:szCs w:val="22"/>
        </w:rPr>
        <w:t xml:space="preserve"> já entregues, caso do reconhecimento pelo Município de Coronel Sapucaia-MS do rompimento do equilíbrio econômico-financeiro originalmente estipulado.</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 critério do Município de Coronel Sapucaia-MS poderá ser cancelado o registro de preços e instaurada nova licitação para a aquisição ou contratação do objeto de registro, sem que caiba direito de recurso ou indenização.</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1"/>
          <w:numId w:val="8"/>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Caso ao Município de Coronel Sapucaia-MS entenda pela revisão dos preços, o novo preço será consignado, através de apostilamento na Ata de Registro de Preços, ao qual estarão os fornecedores vinculados.</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suppressAutoHyphens/>
        <w:ind w:right="-1"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TERCEIRA – DO PRAZO DE VALIDADE DO REGISTRO DE PREÇOS</w:t>
      </w:r>
    </w:p>
    <w:p w:rsidR="00E100D4" w:rsidRDefault="00E100D4" w:rsidP="00E100D4">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vigência do presente instrumento será de </w:t>
      </w:r>
      <w:r>
        <w:rPr>
          <w:rFonts w:asciiTheme="minorHAnsi" w:eastAsia="Calibri" w:hAnsiTheme="minorHAnsi" w:cstheme="minorHAnsi"/>
          <w:b/>
          <w:bCs/>
          <w:sz w:val="22"/>
          <w:szCs w:val="22"/>
        </w:rPr>
        <w:t xml:space="preserve">12 </w:t>
      </w:r>
      <w:r>
        <w:rPr>
          <w:rFonts w:asciiTheme="minorHAnsi" w:eastAsia="Calibri" w:hAnsiTheme="minorHAnsi" w:cstheme="minorHAnsi"/>
          <w:b/>
          <w:sz w:val="22"/>
          <w:szCs w:val="22"/>
        </w:rPr>
        <w:t>(doze) meses</w:t>
      </w:r>
      <w:r>
        <w:rPr>
          <w:rFonts w:asciiTheme="minorHAnsi" w:eastAsia="Calibri" w:hAnsiTheme="minorHAnsi" w:cstheme="minorHAnsi"/>
          <w:sz w:val="22"/>
          <w:szCs w:val="22"/>
        </w:rPr>
        <w:t>, conforme o art. 11, do Decreto Municipal n.º 076/17, contados da data de publicação de seu extrato na Imprensa Oficial.</w:t>
      </w:r>
    </w:p>
    <w:p w:rsidR="00E100D4" w:rsidRDefault="00E100D4" w:rsidP="00E100D4">
      <w:pPr>
        <w:widowControl w:val="0"/>
        <w:ind w:right="-1" w:hanging="11"/>
        <w:jc w:val="both"/>
        <w:rPr>
          <w:rFonts w:asciiTheme="minorHAnsi" w:eastAsia="Calibri" w:hAnsiTheme="minorHAnsi" w:cstheme="minorHAnsi"/>
          <w:b/>
          <w:bCs/>
          <w:sz w:val="22"/>
          <w:szCs w:val="22"/>
        </w:rPr>
      </w:pPr>
    </w:p>
    <w:p w:rsidR="00E100D4" w:rsidRDefault="00E100D4" w:rsidP="00E100D4">
      <w:pPr>
        <w:widowControl w:val="0"/>
        <w:ind w:right="-1"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lastRenderedPageBreak/>
        <w:t>CLÁUSULA QUARTA – DOS USUÁRIOS DO REGISTRO DE PREÇOS</w:t>
      </w:r>
    </w:p>
    <w:p w:rsidR="00E100D4" w:rsidRDefault="00E100D4" w:rsidP="00E100D4">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Serão usuários do Registro de Preços os órgãos da Administração Direta e Indireta, do Município de Coronel Sapucaia-MS.</w:t>
      </w:r>
    </w:p>
    <w:p w:rsidR="00E100D4" w:rsidRDefault="00E100D4" w:rsidP="00E100D4">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100D4" w:rsidRDefault="00E100D4" w:rsidP="00E100D4">
      <w:pPr>
        <w:widowControl w:val="0"/>
        <w:ind w:right="-1"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100D4" w:rsidRDefault="00E100D4" w:rsidP="00E100D4">
      <w:pPr>
        <w:widowControl w:val="0"/>
        <w:ind w:right="-1"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asciiTheme="minorHAnsi" w:hAnsiTheme="minorHAnsi" w:cstheme="minorHAnsi"/>
          <w:sz w:val="22"/>
          <w:szCs w:val="22"/>
        </w:rPr>
        <w:t>produtos</w:t>
      </w:r>
      <w:r>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E100D4" w:rsidRDefault="00E100D4" w:rsidP="00E100D4">
      <w:pPr>
        <w:widowControl w:val="0"/>
        <w:ind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E100D4" w:rsidRDefault="00E100D4" w:rsidP="00E100D4">
      <w:pPr>
        <w:widowControl w:val="0"/>
        <w:ind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 Município de Coronel Sapucaia-MS não se obriga a firmar contratações oriundas do Sistema Registro de Preços ou nas quantidades estimadas, ficando-lhe facultada a utilização de outros meios para aquisição dos </w:t>
      </w:r>
      <w:r>
        <w:rPr>
          <w:rFonts w:asciiTheme="minorHAnsi" w:hAnsiTheme="minorHAnsi" w:cstheme="minorHAnsi"/>
          <w:sz w:val="22"/>
          <w:szCs w:val="22"/>
        </w:rPr>
        <w:t>produtos</w:t>
      </w:r>
      <w:r>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E100D4" w:rsidRDefault="00E100D4" w:rsidP="00E100D4">
      <w:pPr>
        <w:widowControl w:val="0"/>
        <w:ind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As aquisições ou contratações adicionais a que se refere este artigo não poderão exceder, por órgão ou entidade, a 100% (cem por cento) dos quantitativos registrados na Ata de Registro de Preços.</w:t>
      </w:r>
    </w:p>
    <w:p w:rsidR="00E100D4" w:rsidRDefault="00E100D4" w:rsidP="00E100D4">
      <w:pPr>
        <w:widowControl w:val="0"/>
        <w:ind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E100D4" w:rsidRDefault="00E100D4" w:rsidP="00E100D4">
      <w:pPr>
        <w:widowControl w:val="0"/>
        <w:ind w:hanging="11"/>
        <w:jc w:val="both"/>
        <w:rPr>
          <w:rFonts w:asciiTheme="minorHAnsi" w:eastAsia="Calibri" w:hAnsiTheme="minorHAnsi" w:cstheme="minorHAnsi"/>
          <w:sz w:val="22"/>
          <w:szCs w:val="22"/>
        </w:rPr>
      </w:pPr>
    </w:p>
    <w:p w:rsidR="00E100D4" w:rsidRDefault="00E100D4" w:rsidP="00E100D4">
      <w:pPr>
        <w:widowControl w:val="0"/>
        <w:numPr>
          <w:ilvl w:val="1"/>
          <w:numId w:val="12"/>
        </w:numPr>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 Município de Coronel Sapucaia-MS, através do órgão gerenciador não responde pelos atos do órgão carona.</w:t>
      </w:r>
    </w:p>
    <w:p w:rsidR="00E100D4" w:rsidRDefault="00E100D4" w:rsidP="00E100D4">
      <w:pPr>
        <w:widowControl w:val="0"/>
        <w:spacing w:after="0" w:line="240" w:lineRule="auto"/>
        <w:jc w:val="both"/>
        <w:rPr>
          <w:rFonts w:asciiTheme="minorHAnsi" w:eastAsia="Calibri" w:hAnsiTheme="minorHAnsi" w:cstheme="minorHAnsi"/>
          <w:sz w:val="22"/>
          <w:szCs w:val="22"/>
        </w:rPr>
      </w:pPr>
    </w:p>
    <w:p w:rsidR="00E100D4" w:rsidRDefault="00E100D4" w:rsidP="00E100D4">
      <w:pPr>
        <w:ind w:hanging="11"/>
        <w:mirrorIndents/>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QUINTA – DOS DIREITOS E OBRIGAÇÕES DAS PARTES</w:t>
      </w:r>
    </w:p>
    <w:p w:rsidR="00E100D4" w:rsidRDefault="00E100D4" w:rsidP="00E100D4">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Compete ao Órgão Gestor:</w:t>
      </w:r>
    </w:p>
    <w:p w:rsidR="00E100D4" w:rsidRDefault="00E100D4" w:rsidP="00E100D4">
      <w:pPr>
        <w:widowControl w:val="0"/>
        <w:ind w:hanging="11"/>
        <w:jc w:val="both"/>
        <w:rPr>
          <w:rFonts w:asciiTheme="minorHAnsi" w:eastAsia="Calibri" w:hAnsiTheme="minorHAnsi" w:cstheme="minorHAnsi"/>
          <w:b/>
          <w:bCs/>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Emitir a autorização de compra.</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Aplicar penalidades e sanções cabíveis.</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Cancelar o Registro de Preços quando presentes as situações previstas na Cláusula Sexta deste documento.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sz w:val="22"/>
          <w:szCs w:val="22"/>
        </w:rPr>
        <w:t>Compete aos Órgãos ou Entidades Usuários</w:t>
      </w:r>
      <w:r>
        <w:rPr>
          <w:rFonts w:asciiTheme="minorHAnsi" w:eastAsia="Calibri" w:hAnsiTheme="minorHAnsi" w:cstheme="minorHAnsi"/>
          <w:b/>
          <w:bCs/>
          <w:sz w:val="22"/>
          <w:szCs w:val="22"/>
        </w:rPr>
        <w:t>:</w:t>
      </w:r>
    </w:p>
    <w:p w:rsidR="00E100D4" w:rsidRDefault="00E100D4" w:rsidP="00E100D4">
      <w:pPr>
        <w:widowControl w:val="0"/>
        <w:spacing w:after="0" w:line="240" w:lineRule="auto"/>
        <w:jc w:val="both"/>
        <w:rPr>
          <w:rFonts w:asciiTheme="minorHAnsi" w:eastAsia="Calibri" w:hAnsiTheme="minorHAnsi" w:cstheme="minorHAnsi"/>
          <w:b/>
          <w:bCs/>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Firmar ou não a contratação do objeto de registro de preço ou contratar nas quantidades estimadas.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dentro das normas estabelecidas no edital.</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Aplicar as penalidades de sua competência ao fornecedor faltoso.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Notificar as Secretarias Municipais do município, os casos de licitações com preços inferiores aos registrados em Ata.</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Pr>
          <w:rFonts w:asciiTheme="minorHAnsi" w:eastAsia="Calibri" w:hAnsiTheme="minorHAnsi" w:cstheme="minorHAnsi"/>
          <w:sz w:val="22"/>
          <w:szCs w:val="22"/>
        </w:rPr>
        <w:t xml:space="preserve"> entregues em desacordo com as obrigações assumidas pelo Compromitente Fornecedor.</w:t>
      </w:r>
    </w:p>
    <w:p w:rsidR="00E100D4" w:rsidRDefault="00E100D4" w:rsidP="00E100D4">
      <w:pPr>
        <w:widowControl w:val="0"/>
        <w:suppressAutoHyphens/>
        <w:spacing w:after="0" w:line="240" w:lineRule="auto"/>
        <w:ind w:right="-1"/>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right="-1" w:hanging="11"/>
        <w:jc w:val="both"/>
        <w:rPr>
          <w:rFonts w:asciiTheme="minorHAnsi" w:eastAsia="Calibri" w:hAnsiTheme="minorHAnsi" w:cstheme="minorHAnsi"/>
          <w:sz w:val="22"/>
          <w:szCs w:val="22"/>
        </w:rPr>
      </w:pPr>
      <w:r>
        <w:rPr>
          <w:rFonts w:asciiTheme="minorHAnsi" w:eastAsia="Calibri" w:hAnsiTheme="minorHAnsi" w:cstheme="minorHAnsi"/>
          <w:sz w:val="22"/>
          <w:szCs w:val="22"/>
        </w:rPr>
        <w:t>Efetuar os pagamentos dentro das condições estabelecidas no edital.</w:t>
      </w:r>
    </w:p>
    <w:p w:rsidR="00E100D4" w:rsidRDefault="00E100D4" w:rsidP="00E100D4">
      <w:pPr>
        <w:widowControl w:val="0"/>
        <w:numPr>
          <w:ilvl w:val="1"/>
          <w:numId w:val="14"/>
        </w:numPr>
        <w:spacing w:after="0" w:line="240" w:lineRule="auto"/>
        <w:ind w:left="0" w:hanging="11"/>
        <w:jc w:val="both"/>
        <w:rPr>
          <w:rFonts w:asciiTheme="minorHAnsi" w:eastAsia="Calibri" w:hAnsiTheme="minorHAnsi" w:cstheme="minorHAnsi"/>
          <w:b/>
          <w:bCs/>
          <w:sz w:val="22"/>
          <w:szCs w:val="22"/>
        </w:rPr>
      </w:pPr>
      <w:r>
        <w:rPr>
          <w:rFonts w:asciiTheme="minorHAnsi" w:eastAsia="Calibri" w:hAnsiTheme="minorHAnsi" w:cstheme="minorHAnsi"/>
          <w:b/>
          <w:sz w:val="22"/>
          <w:szCs w:val="22"/>
        </w:rPr>
        <w:t>Compete ao Compromitente Fornecedor(a)</w:t>
      </w:r>
      <w:r>
        <w:rPr>
          <w:rFonts w:asciiTheme="minorHAnsi" w:eastAsia="Calibri" w:hAnsiTheme="minorHAnsi" w:cstheme="minorHAnsi"/>
          <w:b/>
          <w:bCs/>
          <w:sz w:val="22"/>
          <w:szCs w:val="22"/>
        </w:rPr>
        <w:t>:</w:t>
      </w:r>
    </w:p>
    <w:p w:rsidR="00E100D4" w:rsidRDefault="00E100D4" w:rsidP="00E100D4">
      <w:pPr>
        <w:widowControl w:val="0"/>
        <w:spacing w:after="0" w:line="240" w:lineRule="auto"/>
        <w:jc w:val="both"/>
        <w:rPr>
          <w:rFonts w:asciiTheme="minorHAnsi" w:eastAsia="Calibri" w:hAnsiTheme="minorHAnsi" w:cstheme="minorHAnsi"/>
          <w:b/>
          <w:bCs/>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Vincular-se ao preço máximo (novo preço) definido pelo Município de Coronel Sapucaia-MS, resultante do ato de revisão.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Ter direito de preferência ou, igualdade de condições caso o Município de Coronel Sapucaia-MS optar pela contratação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objeto de registro por outros meios facultados na legislação relativa às licitações.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14"/>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Receber os pagamentos respectivos nas condições pactuadas.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ind w:hanging="11"/>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SEXTA – DO CANCELAMENTO DOS PREÇOS REGISTRADOS</w:t>
      </w:r>
    </w:p>
    <w:p w:rsidR="00E100D4" w:rsidRDefault="00E100D4" w:rsidP="00E100D4">
      <w:pPr>
        <w:widowControl w:val="0"/>
        <w:ind w:hanging="11"/>
        <w:jc w:val="both"/>
        <w:rPr>
          <w:rFonts w:asciiTheme="minorHAnsi" w:eastAsia="Calibri" w:hAnsiTheme="minorHAnsi" w:cstheme="minorHAnsi"/>
          <w:sz w:val="22"/>
          <w:szCs w:val="22"/>
        </w:rPr>
      </w:pPr>
      <w:r>
        <w:rPr>
          <w:rFonts w:asciiTheme="minorHAnsi" w:eastAsia="Calibri" w:hAnsiTheme="minorHAnsi" w:cstheme="minorHAnsi"/>
          <w:b/>
          <w:sz w:val="22"/>
          <w:szCs w:val="22"/>
        </w:rPr>
        <w:lastRenderedPageBreak/>
        <w:t>6.1.</w:t>
      </w:r>
      <w:r>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Ocorrer qualquer das hipóteses de inexecução total ou parcial do instrumento de ajuste;</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Os preços registrados apresentarem-se superiores ao do mercado e não houver êxito na negociação;</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Por razão de interesse público, devidamente motivado;</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E100D4" w:rsidRDefault="00E100D4" w:rsidP="00E100D4">
      <w:pPr>
        <w:widowControl w:val="0"/>
        <w:numPr>
          <w:ilvl w:val="1"/>
          <w:numId w:val="16"/>
        </w:numPr>
        <w:suppressAutoHyphens/>
        <w:spacing w:after="0" w:line="240" w:lineRule="auto"/>
        <w:ind w:left="1134" w:hanging="425"/>
        <w:jc w:val="both"/>
        <w:rPr>
          <w:rFonts w:asciiTheme="minorHAnsi" w:eastAsia="Calibri" w:hAnsiTheme="minorHAnsi" w:cstheme="minorHAnsi"/>
          <w:sz w:val="22"/>
          <w:szCs w:val="22"/>
        </w:rPr>
      </w:pPr>
      <w:r>
        <w:rPr>
          <w:rFonts w:asciiTheme="minorHAnsi" w:eastAsia="Calibri" w:hAnsiTheme="minorHAnsi" w:cstheme="minorHAnsi"/>
          <w:sz w:val="22"/>
          <w:szCs w:val="22"/>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E100D4" w:rsidRDefault="00E100D4" w:rsidP="00E100D4">
      <w:pPr>
        <w:widowControl w:val="0"/>
        <w:suppressAutoHyphens/>
        <w:ind w:left="1134"/>
        <w:jc w:val="both"/>
        <w:rPr>
          <w:rFonts w:asciiTheme="minorHAnsi" w:eastAsia="Calibri" w:hAnsiTheme="minorHAnsi" w:cstheme="minorHAnsi"/>
          <w:sz w:val="22"/>
          <w:szCs w:val="22"/>
        </w:rPr>
      </w:pPr>
    </w:p>
    <w:p w:rsidR="00E100D4" w:rsidRDefault="00E100D4" w:rsidP="00E100D4">
      <w:pPr>
        <w:widowControl w:val="0"/>
        <w:numPr>
          <w:ilvl w:val="1"/>
          <w:numId w:val="18"/>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E100D4" w:rsidRDefault="00E100D4" w:rsidP="00E100D4">
      <w:pPr>
        <w:widowControl w:val="0"/>
        <w:ind w:left="709" w:right="-1"/>
        <w:jc w:val="both"/>
        <w:rPr>
          <w:rFonts w:asciiTheme="minorHAnsi" w:eastAsia="Calibri" w:hAnsiTheme="minorHAnsi" w:cstheme="minorHAnsi"/>
          <w:sz w:val="22"/>
          <w:szCs w:val="22"/>
        </w:rPr>
      </w:pPr>
    </w:p>
    <w:p w:rsidR="00E100D4" w:rsidRDefault="00E100D4" w:rsidP="00E100D4">
      <w:pPr>
        <w:mirrorIndents/>
        <w:jc w:val="center"/>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SÉTIMA – DO FORNECIMENTO</w:t>
      </w:r>
    </w:p>
    <w:p w:rsidR="00E100D4" w:rsidRDefault="00E100D4" w:rsidP="00E100D4">
      <w:pPr>
        <w:mirrorIndents/>
        <w:jc w:val="center"/>
        <w:rPr>
          <w:rFonts w:asciiTheme="minorHAnsi" w:eastAsia="Calibri" w:hAnsiTheme="minorHAnsi" w:cstheme="minorHAnsi"/>
          <w:b/>
          <w:bCs/>
          <w:sz w:val="22"/>
          <w:szCs w:val="22"/>
        </w:rPr>
      </w:pPr>
    </w:p>
    <w:p w:rsidR="00E100D4" w:rsidRDefault="00E100D4" w:rsidP="00E100D4">
      <w:pPr>
        <w:widowControl w:val="0"/>
        <w:numPr>
          <w:ilvl w:val="1"/>
          <w:numId w:val="20"/>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E100D4" w:rsidRDefault="00E100D4" w:rsidP="00E100D4">
      <w:pPr>
        <w:widowControl w:val="0"/>
        <w:suppressAutoHyphens/>
        <w:ind w:left="720"/>
        <w:jc w:val="both"/>
        <w:rPr>
          <w:rFonts w:asciiTheme="minorHAnsi" w:eastAsia="Calibri" w:hAnsiTheme="minorHAnsi" w:cstheme="minorHAnsi"/>
          <w:sz w:val="22"/>
          <w:szCs w:val="22"/>
        </w:rPr>
      </w:pPr>
    </w:p>
    <w:p w:rsidR="00E100D4" w:rsidRDefault="00E100D4" w:rsidP="00E100D4">
      <w:pPr>
        <w:widowControl w:val="0"/>
        <w:numPr>
          <w:ilvl w:val="0"/>
          <w:numId w:val="22"/>
        </w:numPr>
        <w:spacing w:after="0" w:line="24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t>Nota de empenho ou documento equivalente, quando a entrega não envolver obrigações futuras;</w:t>
      </w:r>
    </w:p>
    <w:p w:rsidR="00E100D4" w:rsidRDefault="00E100D4" w:rsidP="00E100D4">
      <w:pPr>
        <w:widowControl w:val="0"/>
        <w:numPr>
          <w:ilvl w:val="0"/>
          <w:numId w:val="22"/>
        </w:numPr>
        <w:spacing w:after="0" w:line="240" w:lineRule="auto"/>
        <w:ind w:left="1134"/>
        <w:jc w:val="both"/>
        <w:rPr>
          <w:rFonts w:asciiTheme="minorHAnsi" w:eastAsia="Calibri" w:hAnsiTheme="minorHAnsi" w:cstheme="minorHAnsi"/>
          <w:sz w:val="22"/>
          <w:szCs w:val="22"/>
        </w:rPr>
      </w:pPr>
      <w:r>
        <w:rPr>
          <w:rFonts w:asciiTheme="minorHAnsi" w:eastAsia="Calibri" w:hAnsiTheme="minorHAnsi" w:cstheme="minorHAnsi"/>
          <w:sz w:val="22"/>
          <w:szCs w:val="22"/>
        </w:rPr>
        <w:t>Nota de empenho ou documento equivalente e contrato de fornecimento, quando presentes obrigações futuras.</w:t>
      </w:r>
    </w:p>
    <w:p w:rsidR="00E100D4" w:rsidRDefault="00E100D4" w:rsidP="00E100D4">
      <w:pPr>
        <w:widowControl w:val="0"/>
        <w:jc w:val="both"/>
        <w:rPr>
          <w:rFonts w:asciiTheme="minorHAnsi" w:eastAsia="Calibri" w:hAnsiTheme="minorHAnsi" w:cstheme="minorHAnsi"/>
          <w:sz w:val="22"/>
          <w:szCs w:val="22"/>
        </w:rPr>
      </w:pPr>
    </w:p>
    <w:p w:rsidR="00E100D4" w:rsidRDefault="00E100D4" w:rsidP="00E100D4">
      <w:pPr>
        <w:widowControl w:val="0"/>
        <w:numPr>
          <w:ilvl w:val="1"/>
          <w:numId w:val="20"/>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 prazo para a retirada da Nota de Empenho e/ou assinatura da Ata será de </w:t>
      </w:r>
      <w:r>
        <w:rPr>
          <w:rFonts w:asciiTheme="minorHAnsi" w:eastAsia="Calibri" w:hAnsiTheme="minorHAnsi" w:cstheme="minorHAnsi"/>
          <w:b/>
          <w:sz w:val="22"/>
          <w:szCs w:val="22"/>
        </w:rPr>
        <w:t>05 (cinco) dias úteis</w:t>
      </w:r>
      <w:r>
        <w:rPr>
          <w:rFonts w:asciiTheme="minorHAnsi" w:eastAsia="Calibri" w:hAnsiTheme="minorHAnsi" w:cstheme="minorHAnsi"/>
          <w:sz w:val="22"/>
          <w:szCs w:val="22"/>
        </w:rPr>
        <w:t>, contados da convocação.</w:t>
      </w:r>
    </w:p>
    <w:p w:rsidR="00E100D4" w:rsidRDefault="00E100D4" w:rsidP="00E100D4">
      <w:pPr>
        <w:widowControl w:val="0"/>
        <w:suppressAutoHyphens/>
        <w:ind w:hanging="11"/>
        <w:jc w:val="both"/>
        <w:rPr>
          <w:rFonts w:asciiTheme="minorHAnsi" w:eastAsia="Calibri" w:hAnsiTheme="minorHAnsi" w:cstheme="minorHAnsi"/>
          <w:sz w:val="22"/>
          <w:szCs w:val="22"/>
        </w:rPr>
      </w:pPr>
    </w:p>
    <w:p w:rsidR="00E100D4" w:rsidRDefault="00E100D4" w:rsidP="00E100D4">
      <w:pPr>
        <w:widowControl w:val="0"/>
        <w:numPr>
          <w:ilvl w:val="1"/>
          <w:numId w:val="20"/>
        </w:numPr>
        <w:suppressAutoHyphens/>
        <w:spacing w:after="0" w:line="240" w:lineRule="auto"/>
        <w:ind w:left="0" w:hanging="11"/>
        <w:jc w:val="both"/>
        <w:rPr>
          <w:rFonts w:asciiTheme="minorHAnsi" w:eastAsia="Calibri" w:hAnsiTheme="minorHAnsi" w:cstheme="minorHAnsi"/>
          <w:sz w:val="22"/>
          <w:szCs w:val="22"/>
        </w:rPr>
      </w:pPr>
      <w:r>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numPr>
          <w:ilvl w:val="1"/>
          <w:numId w:val="20"/>
        </w:numPr>
        <w:spacing w:after="0" w:line="240" w:lineRule="auto"/>
        <w:ind w:left="0" w:hanging="11"/>
        <w:jc w:val="both"/>
        <w:rPr>
          <w:rFonts w:asciiTheme="minorHAnsi" w:hAnsiTheme="minorHAnsi" w:cstheme="minorHAnsi"/>
          <w:b/>
          <w:color w:val="000000"/>
          <w:sz w:val="22"/>
          <w:szCs w:val="22"/>
        </w:rPr>
      </w:pPr>
      <w:r>
        <w:rPr>
          <w:rFonts w:asciiTheme="minorHAnsi" w:hAnsiTheme="minorHAnsi" w:cstheme="minorHAnsi"/>
          <w:b/>
          <w:kern w:val="20"/>
          <w:sz w:val="22"/>
          <w:szCs w:val="22"/>
          <w:u w:val="single"/>
        </w:rPr>
        <w:lastRenderedPageBreak/>
        <w:t>DA ENTREGA</w:t>
      </w:r>
    </w:p>
    <w:p w:rsidR="00E100D4" w:rsidRDefault="00E100D4" w:rsidP="00E100D4">
      <w:pPr>
        <w:spacing w:after="0" w:line="240" w:lineRule="auto"/>
        <w:jc w:val="both"/>
        <w:rPr>
          <w:rFonts w:asciiTheme="minorHAnsi" w:hAnsiTheme="minorHAnsi" w:cstheme="minorHAnsi"/>
          <w:b/>
          <w:color w:val="000000"/>
          <w:sz w:val="22"/>
          <w:szCs w:val="22"/>
        </w:rPr>
      </w:pPr>
    </w:p>
    <w:p w:rsidR="00E100D4" w:rsidRDefault="00E100D4" w:rsidP="00E100D4">
      <w:pPr>
        <w:numPr>
          <w:ilvl w:val="2"/>
          <w:numId w:val="20"/>
        </w:numPr>
        <w:spacing w:after="0" w:line="240" w:lineRule="auto"/>
        <w:ind w:left="0" w:firstLine="0"/>
        <w:jc w:val="both"/>
        <w:rPr>
          <w:rFonts w:asciiTheme="minorHAnsi" w:hAnsiTheme="minorHAnsi" w:cstheme="minorHAnsi"/>
          <w:color w:val="000000"/>
          <w:sz w:val="22"/>
          <w:szCs w:val="22"/>
        </w:rPr>
      </w:pPr>
      <w:bookmarkStart w:id="1" w:name="_Hlk99442071"/>
      <w:r>
        <w:rPr>
          <w:rFonts w:asciiTheme="minorHAnsi" w:hAnsiTheme="minorHAnsi" w:cstheme="minorHAnsi"/>
          <w:sz w:val="22"/>
          <w:szCs w:val="22"/>
        </w:rPr>
        <w:t>Os produtos objeto desta licitação serão fornecidas de acordo com as solicitações realizadas pela Secretaria Municipal de saúde ou setor de compras responsável, devendo atender todas especificações constante no Termo de Referência</w:t>
      </w:r>
      <w:bookmarkEnd w:id="1"/>
      <w:r>
        <w:rPr>
          <w:rFonts w:asciiTheme="minorHAnsi" w:hAnsiTheme="minorHAnsi" w:cstheme="minorHAnsi"/>
          <w:color w:val="000000"/>
          <w:kern w:val="20"/>
          <w:sz w:val="22"/>
          <w:szCs w:val="22"/>
        </w:rPr>
        <w:t>.</w:t>
      </w:r>
    </w:p>
    <w:p w:rsidR="00E100D4" w:rsidRDefault="00E100D4" w:rsidP="00E100D4">
      <w:pPr>
        <w:spacing w:after="0" w:line="240" w:lineRule="auto"/>
        <w:jc w:val="both"/>
        <w:rPr>
          <w:rFonts w:asciiTheme="minorHAnsi" w:hAnsiTheme="minorHAnsi" w:cstheme="minorHAnsi"/>
          <w:color w:val="000000"/>
          <w:sz w:val="22"/>
          <w:szCs w:val="22"/>
        </w:rPr>
      </w:pPr>
    </w:p>
    <w:p w:rsidR="00E100D4" w:rsidRDefault="00E100D4" w:rsidP="00E100D4">
      <w:pPr>
        <w:numPr>
          <w:ilvl w:val="2"/>
          <w:numId w:val="20"/>
        </w:numPr>
        <w:spacing w:after="0" w:line="240" w:lineRule="auto"/>
        <w:ind w:left="0" w:firstLine="0"/>
        <w:jc w:val="both"/>
        <w:rPr>
          <w:rFonts w:asciiTheme="minorHAnsi" w:hAnsiTheme="minorHAnsi" w:cstheme="minorHAnsi"/>
          <w:color w:val="000000"/>
          <w:sz w:val="22"/>
          <w:szCs w:val="22"/>
        </w:rPr>
      </w:pPr>
      <w:r>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100D4" w:rsidRDefault="00E100D4" w:rsidP="00E100D4">
      <w:pPr>
        <w:spacing w:after="0" w:line="240" w:lineRule="auto"/>
        <w:jc w:val="both"/>
        <w:rPr>
          <w:rFonts w:asciiTheme="minorHAnsi" w:hAnsiTheme="minorHAnsi" w:cstheme="minorHAnsi"/>
          <w:color w:val="000000"/>
          <w:sz w:val="22"/>
          <w:szCs w:val="22"/>
        </w:rPr>
      </w:pPr>
    </w:p>
    <w:p w:rsidR="00E100D4" w:rsidRDefault="00E100D4" w:rsidP="00E100D4">
      <w:pPr>
        <w:widowControl w:val="0"/>
        <w:numPr>
          <w:ilvl w:val="2"/>
          <w:numId w:val="20"/>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Pr>
          <w:rFonts w:asciiTheme="minorHAnsi" w:eastAsia="Calibri" w:hAnsiTheme="minorHAnsi" w:cstheme="minorHAnsi"/>
          <w:sz w:val="22"/>
          <w:szCs w:val="22"/>
        </w:rPr>
        <w:t>, o Compromitente Fornecedor deverá, obrigatoriamente, encaminhar os seguintes documentos:</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a)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03 (três) vias da Autorização de Fornecimento (AF)</w:t>
      </w:r>
      <w:r>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E100D4" w:rsidRDefault="00E100D4" w:rsidP="00E100D4">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b)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Nota fiscal e/ou Fatura</w:t>
      </w:r>
      <w:r>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E100D4" w:rsidRDefault="00E100D4" w:rsidP="00E100D4">
      <w:pPr>
        <w:widowControl w:val="0"/>
        <w:suppressAutoHyphens/>
        <w:ind w:left="1134" w:hanging="425"/>
        <w:jc w:val="both"/>
        <w:rPr>
          <w:rFonts w:asciiTheme="minorHAnsi" w:eastAsia="Calibri" w:hAnsiTheme="minorHAnsi" w:cstheme="minorHAnsi"/>
          <w:sz w:val="22"/>
          <w:szCs w:val="22"/>
        </w:rPr>
      </w:pPr>
      <w:r>
        <w:rPr>
          <w:rFonts w:asciiTheme="minorHAnsi" w:eastAsia="Calibri" w:hAnsiTheme="minorHAnsi" w:cstheme="minorHAnsi"/>
          <w:b/>
          <w:sz w:val="22"/>
          <w:szCs w:val="22"/>
        </w:rPr>
        <w:t xml:space="preserve">c) </w:t>
      </w:r>
      <w:r>
        <w:rPr>
          <w:rFonts w:asciiTheme="minorHAnsi" w:eastAsia="Calibri" w:hAnsiTheme="minorHAnsi" w:cstheme="minorHAnsi"/>
          <w:b/>
          <w:sz w:val="22"/>
          <w:szCs w:val="22"/>
        </w:rPr>
        <w:tab/>
      </w:r>
      <w:r>
        <w:rPr>
          <w:rFonts w:asciiTheme="minorHAnsi" w:eastAsia="Calibri" w:hAnsiTheme="minorHAnsi" w:cstheme="minorHAnsi"/>
          <w:b/>
          <w:sz w:val="22"/>
          <w:szCs w:val="22"/>
          <w:u w:val="single"/>
        </w:rPr>
        <w:t>Certidões Negativas de Débitos</w:t>
      </w:r>
      <w:r>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E100D4" w:rsidRDefault="00E100D4" w:rsidP="00E100D4">
      <w:pPr>
        <w:numPr>
          <w:ilvl w:val="1"/>
          <w:numId w:val="20"/>
        </w:numPr>
        <w:spacing w:after="0" w:line="240" w:lineRule="auto"/>
        <w:ind w:left="0" w:firstLine="0"/>
        <w:jc w:val="both"/>
        <w:rPr>
          <w:rFonts w:asciiTheme="minorHAnsi" w:hAnsiTheme="minorHAnsi" w:cstheme="minorHAnsi"/>
          <w:b/>
          <w:color w:val="000000"/>
          <w:sz w:val="22"/>
          <w:szCs w:val="22"/>
        </w:rPr>
      </w:pPr>
      <w:r>
        <w:rPr>
          <w:rFonts w:asciiTheme="minorHAnsi" w:hAnsiTheme="minorHAnsi" w:cstheme="minorHAnsi"/>
          <w:b/>
          <w:kern w:val="20"/>
          <w:sz w:val="22"/>
          <w:szCs w:val="22"/>
          <w:u w:val="single"/>
        </w:rPr>
        <w:t>DO RECEBIMENTO</w:t>
      </w:r>
    </w:p>
    <w:p w:rsidR="00E100D4" w:rsidRDefault="00E100D4" w:rsidP="00E100D4">
      <w:pPr>
        <w:numPr>
          <w:ilvl w:val="2"/>
          <w:numId w:val="20"/>
        </w:numPr>
        <w:spacing w:after="0" w:line="240" w:lineRule="auto"/>
        <w:ind w:left="0" w:firstLine="0"/>
        <w:jc w:val="both"/>
        <w:rPr>
          <w:rFonts w:asciiTheme="minorHAnsi" w:hAnsiTheme="minorHAnsi" w:cstheme="minorHAnsi"/>
          <w:color w:val="000000"/>
          <w:sz w:val="22"/>
          <w:szCs w:val="22"/>
        </w:rPr>
      </w:pPr>
      <w:r>
        <w:rPr>
          <w:rFonts w:asciiTheme="minorHAnsi" w:hAnsiTheme="minorHAnsi" w:cstheme="minorHAnsi"/>
          <w:kern w:val="20"/>
          <w:sz w:val="22"/>
          <w:szCs w:val="22"/>
        </w:rPr>
        <w:t>O recebimento deverá se efetivar, em conformidade com os arts. 73 a 76 da Lei Federal n.º 8.666/93, especificamente nos termos do art. 73, inciso II, alíneas “a” e “b” do referido dispositivo</w:t>
      </w:r>
      <w:r>
        <w:rPr>
          <w:rFonts w:asciiTheme="minorHAnsi" w:hAnsiTheme="minorHAnsi" w:cstheme="minorHAnsi"/>
          <w:color w:val="000000"/>
          <w:kern w:val="20"/>
          <w:sz w:val="22"/>
          <w:szCs w:val="22"/>
        </w:rPr>
        <w:t>.</w:t>
      </w:r>
    </w:p>
    <w:p w:rsidR="00E100D4" w:rsidRDefault="00E100D4" w:rsidP="00E100D4">
      <w:pPr>
        <w:jc w:val="both"/>
        <w:rPr>
          <w:rFonts w:asciiTheme="minorHAnsi" w:hAnsiTheme="minorHAnsi" w:cstheme="minorHAnsi"/>
          <w:color w:val="000000"/>
          <w:sz w:val="22"/>
          <w:szCs w:val="22"/>
        </w:rPr>
      </w:pPr>
    </w:p>
    <w:p w:rsidR="00E100D4" w:rsidRDefault="00E100D4" w:rsidP="00E100D4">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Relativamente ao disposto na presente cláusula, aplica-se subsidiariamente as disposições da Lei n.º 8.078/90 – Código de Defesa do Consumidor.</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Pr>
          <w:rFonts w:asciiTheme="minorHAnsi" w:eastAsia="Calibri" w:hAnsiTheme="minorHAnsi" w:cstheme="minorHAnsi"/>
          <w:b/>
          <w:sz w:val="22"/>
          <w:szCs w:val="22"/>
        </w:rPr>
        <w:t>24 (vinte e quatro) horas</w:t>
      </w:r>
      <w:r>
        <w:rPr>
          <w:rFonts w:asciiTheme="minorHAnsi" w:eastAsia="Calibri" w:hAnsiTheme="minorHAnsi" w:cstheme="minorHAnsi"/>
          <w:sz w:val="22"/>
          <w:szCs w:val="22"/>
        </w:rPr>
        <w:t>, a contar do recebimento da ordem de fornecimento.</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Caso a fornecedora detentora da Ata se recusar ao recebimento da nota de empenho ou instrumento equivalente, no prazo de </w:t>
      </w:r>
      <w:r>
        <w:rPr>
          <w:rFonts w:asciiTheme="minorHAnsi" w:eastAsia="Calibri" w:hAnsiTheme="minorHAnsi" w:cstheme="minorHAnsi"/>
          <w:b/>
          <w:sz w:val="22"/>
          <w:szCs w:val="22"/>
        </w:rPr>
        <w:t>05 (cinco) dias úteis</w:t>
      </w:r>
      <w:r>
        <w:rPr>
          <w:rFonts w:asciiTheme="minorHAnsi" w:eastAsia="Calibri" w:hAnsiTheme="minorHAnsi" w:cstheme="minorHAnsi"/>
          <w:sz w:val="22"/>
          <w:szCs w:val="22"/>
        </w:rPr>
        <w:t xml:space="preserve">, a contar da notificação por </w:t>
      </w:r>
      <w:r>
        <w:rPr>
          <w:rFonts w:asciiTheme="minorHAnsi" w:eastAsia="Calibri" w:hAnsiTheme="minorHAnsi" w:cstheme="minorHAnsi"/>
          <w:sz w:val="22"/>
          <w:szCs w:val="22"/>
        </w:rPr>
        <w:lastRenderedPageBreak/>
        <w:t>meio hábil (fax ou e-mail), o Município de Coronel Sapucaia-MS convocará a segunda melhor classificada para efetuar o fornecimento, e assim sucessivamente quanto às demais classificadas, facultando aos faltosos as penalidades cabíveis.</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4"/>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mirrorIndents/>
        <w:rPr>
          <w:rFonts w:asciiTheme="minorHAnsi" w:eastAsia="Calibri" w:hAnsiTheme="minorHAnsi" w:cstheme="minorHAnsi"/>
          <w:b/>
          <w:bCs/>
          <w:sz w:val="22"/>
          <w:szCs w:val="22"/>
        </w:rPr>
      </w:pPr>
      <w:r>
        <w:rPr>
          <w:rFonts w:asciiTheme="minorHAnsi" w:eastAsia="Calibri" w:hAnsiTheme="minorHAnsi" w:cstheme="minorHAnsi"/>
          <w:b/>
          <w:bCs/>
          <w:sz w:val="22"/>
          <w:szCs w:val="22"/>
        </w:rPr>
        <w:t>CLÁUSULA OITAVA – DO PAGAMENTO</w:t>
      </w: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Pr>
          <w:rFonts w:asciiTheme="minorHAnsi" w:eastAsia="Calibri" w:hAnsiTheme="minorHAnsi" w:cstheme="minorHAnsi"/>
          <w:sz w:val="22"/>
          <w:szCs w:val="22"/>
        </w:rPr>
        <w:t>.</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Na hipótese de devolução, a Nota Fiscal/Fatura será considerada como não apresentada, para fins de atendimento das condições contratuais e o prazo de pagamento passará a fluir após a sua reapresentação.</w:t>
      </w: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O Município de Coronel Sapucaia-MS efetuará retenção, na fonte, dos tributos e contribuições sobre todos os pagamentos devidos à fornecedora classificada.</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Fica estabelecido o percentual de juros de 6% (seis por cento) ao ano, na hipótese de mora por parte do Município de Coronel Sapucaia.</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O Compromitente Fornecedor fica ciente que o Município de Coronel Sapucaia-MS, efetuará a retenção de valores devidos, em razão de cumprimento</w:t>
      </w:r>
      <w:r>
        <w:rPr>
          <w:rFonts w:asciiTheme="minorHAnsi" w:eastAsia="Calibri" w:hAnsiTheme="minorHAnsi" w:cstheme="minorHAnsi"/>
          <w:sz w:val="22"/>
          <w:szCs w:val="22"/>
        </w:rPr>
        <w:t xml:space="preserve"> da referida Ata a ser firmada, caso seja demonstrado que o mesmo possua Débitos Trabalhistas.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1"/>
          <w:numId w:val="26"/>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E100D4" w:rsidRDefault="00E100D4" w:rsidP="00E100D4">
      <w:pPr>
        <w:spacing w:after="0" w:line="240" w:lineRule="auto"/>
        <w:mirrorIndents/>
        <w:rPr>
          <w:rFonts w:asciiTheme="minorHAnsi" w:eastAsia="Calibri" w:hAnsiTheme="minorHAnsi" w:cstheme="minorHAnsi"/>
          <w:b/>
          <w:bCs/>
          <w:color w:val="000000"/>
          <w:sz w:val="22"/>
          <w:szCs w:val="22"/>
        </w:rPr>
      </w:pPr>
    </w:p>
    <w:p w:rsidR="00E100D4" w:rsidRDefault="00E100D4" w:rsidP="00E100D4">
      <w:pPr>
        <w:mirrorIndents/>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 xml:space="preserve">CLÁUSULA NONA </w:t>
      </w:r>
      <w:r>
        <w:rPr>
          <w:rFonts w:asciiTheme="minorHAnsi" w:eastAsia="Calibri" w:hAnsiTheme="minorHAnsi" w:cstheme="minorHAnsi"/>
          <w:b/>
          <w:bCs/>
          <w:noProof/>
          <w:color w:val="000000"/>
          <w:sz w:val="22"/>
          <w:szCs w:val="22"/>
        </w:rPr>
        <w:t>–</w:t>
      </w:r>
      <w:r>
        <w:rPr>
          <w:rFonts w:asciiTheme="minorHAnsi" w:eastAsia="Calibri" w:hAnsiTheme="minorHAnsi" w:cstheme="minorHAnsi"/>
          <w:b/>
          <w:bCs/>
          <w:color w:val="000000"/>
          <w:sz w:val="22"/>
          <w:szCs w:val="22"/>
        </w:rPr>
        <w:t xml:space="preserve"> DAS SUPRESSÕES</w:t>
      </w:r>
    </w:p>
    <w:p w:rsidR="00E100D4" w:rsidRDefault="00E100D4" w:rsidP="00E100D4">
      <w:pPr>
        <w:widowControl w:val="0"/>
        <w:numPr>
          <w:ilvl w:val="1"/>
          <w:numId w:val="2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mirrorIndents/>
        <w:rPr>
          <w:rFonts w:asciiTheme="minorHAnsi" w:eastAsia="Calibri" w:hAnsiTheme="minorHAnsi" w:cstheme="minorHAnsi"/>
          <w:b/>
          <w:bCs/>
          <w:color w:val="000000"/>
          <w:sz w:val="22"/>
          <w:szCs w:val="22"/>
        </w:rPr>
      </w:pPr>
      <w:r>
        <w:rPr>
          <w:rFonts w:asciiTheme="minorHAnsi" w:eastAsia="Calibri" w:hAnsiTheme="minorHAnsi" w:cstheme="minorHAnsi"/>
          <w:b/>
          <w:bCs/>
          <w:color w:val="000000"/>
          <w:sz w:val="22"/>
          <w:szCs w:val="22"/>
        </w:rPr>
        <w:t xml:space="preserve">CLÁUSULA DÉCIMA </w:t>
      </w:r>
      <w:r>
        <w:rPr>
          <w:rFonts w:asciiTheme="minorHAnsi" w:eastAsia="Calibri" w:hAnsiTheme="minorHAnsi" w:cstheme="minorHAnsi"/>
          <w:b/>
          <w:bCs/>
          <w:noProof/>
          <w:color w:val="000000"/>
          <w:sz w:val="22"/>
          <w:szCs w:val="22"/>
        </w:rPr>
        <w:t>–</w:t>
      </w:r>
      <w:r>
        <w:rPr>
          <w:rFonts w:asciiTheme="minorHAnsi" w:eastAsia="Calibri" w:hAnsiTheme="minorHAnsi" w:cstheme="minorHAnsi"/>
          <w:b/>
          <w:bCs/>
          <w:color w:val="000000"/>
          <w:sz w:val="22"/>
          <w:szCs w:val="22"/>
        </w:rPr>
        <w:t xml:space="preserve"> DA DOTAÇÃO ORÇAMENTÁRIA</w:t>
      </w:r>
    </w:p>
    <w:p w:rsidR="00E100D4" w:rsidRDefault="00E100D4" w:rsidP="00E100D4">
      <w:pPr>
        <w:widowControl w:val="0"/>
        <w:numPr>
          <w:ilvl w:val="1"/>
          <w:numId w:val="30"/>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100D4" w:rsidRDefault="00E100D4" w:rsidP="00E100D4">
      <w:pPr>
        <w:widowControl w:val="0"/>
        <w:spacing w:after="0" w:line="240" w:lineRule="auto"/>
        <w:ind w:right="-1"/>
        <w:jc w:val="both"/>
        <w:rPr>
          <w:rFonts w:asciiTheme="minorHAnsi" w:eastAsia="Calibri" w:hAnsiTheme="minorHAnsi" w:cstheme="minorHAnsi"/>
          <w:sz w:val="22"/>
          <w:szCs w:val="22"/>
        </w:rPr>
      </w:pPr>
    </w:p>
    <w:p w:rsidR="00E100D4" w:rsidRDefault="00E100D4" w:rsidP="00E100D4">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PRIMEIRA – </w:t>
      </w:r>
      <w:r>
        <w:rPr>
          <w:rFonts w:asciiTheme="minorHAnsi" w:eastAsia="Calibri" w:hAnsiTheme="minorHAnsi" w:cstheme="minorHAnsi"/>
          <w:b/>
          <w:bCs/>
          <w:color w:val="000000"/>
          <w:sz w:val="22"/>
          <w:szCs w:val="22"/>
        </w:rPr>
        <w:t>DAS PENALIDADES E MULTAS</w:t>
      </w:r>
    </w:p>
    <w:p w:rsidR="00E100D4" w:rsidRDefault="00E100D4" w:rsidP="00E100D4">
      <w:pPr>
        <w:widowControl w:val="0"/>
        <w:numPr>
          <w:ilvl w:val="1"/>
          <w:numId w:val="32"/>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Caso haja inexecução parcial ou total da Ata de Registro de Preços</w:t>
      </w:r>
      <w:r>
        <w:rPr>
          <w:rFonts w:asciiTheme="minorHAnsi" w:eastAsia="Calibri" w:hAnsiTheme="minorHAnsi" w:cstheme="minorHAnsi"/>
          <w:smallCaps/>
          <w:sz w:val="22"/>
          <w:szCs w:val="22"/>
        </w:rPr>
        <w:t>,</w:t>
      </w:r>
      <w:r>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Pr>
          <w:rFonts w:asciiTheme="minorHAnsi" w:eastAsia="Batang" w:hAnsiTheme="minorHAnsi" w:cstheme="minorHAnsi"/>
          <w:sz w:val="22"/>
          <w:szCs w:val="22"/>
        </w:rPr>
        <w:t>Compromitente Fornecedor</w:t>
      </w:r>
      <w:r>
        <w:rPr>
          <w:rFonts w:asciiTheme="minorHAnsi" w:eastAsia="Calibri" w:hAnsiTheme="minorHAnsi" w:cstheme="minorHAnsi"/>
          <w:sz w:val="22"/>
          <w:szCs w:val="22"/>
        </w:rPr>
        <w:t xml:space="preserve"> as seguintes penalidades, sem prejuízo das responsabilidades civil e criminal.</w:t>
      </w:r>
    </w:p>
    <w:p w:rsidR="00E100D4" w:rsidRDefault="00E100D4" w:rsidP="00E100D4">
      <w:pPr>
        <w:widowControl w:val="0"/>
        <w:suppressAutoHyphens/>
        <w:spacing w:after="0" w:line="240" w:lineRule="auto"/>
        <w:jc w:val="both"/>
        <w:rPr>
          <w:rFonts w:asciiTheme="minorHAnsi" w:eastAsia="Calibri" w:hAnsiTheme="minorHAnsi" w:cstheme="minorHAnsi"/>
          <w:sz w:val="22"/>
          <w:szCs w:val="22"/>
        </w:rPr>
      </w:pPr>
    </w:p>
    <w:p w:rsidR="00E100D4" w:rsidRDefault="00E100D4" w:rsidP="00E100D4">
      <w:pPr>
        <w:widowControl w:val="0"/>
        <w:numPr>
          <w:ilvl w:val="2"/>
          <w:numId w:val="30"/>
        </w:numPr>
        <w:suppressAutoHyphens/>
        <w:spacing w:after="0" w:line="240" w:lineRule="auto"/>
        <w:ind w:left="0" w:firstLine="0"/>
        <w:jc w:val="both"/>
        <w:rPr>
          <w:rFonts w:asciiTheme="minorHAnsi" w:eastAsia="Calibri" w:hAnsiTheme="minorHAnsi" w:cstheme="minorHAnsi"/>
          <w:b/>
          <w:sz w:val="22"/>
          <w:szCs w:val="22"/>
        </w:rPr>
      </w:pPr>
      <w:r>
        <w:rPr>
          <w:rFonts w:asciiTheme="minorHAnsi" w:eastAsia="Calibri" w:hAnsiTheme="minorHAnsi" w:cstheme="minorHAnsi"/>
          <w:sz w:val="22"/>
          <w:szCs w:val="22"/>
        </w:rPr>
        <w:lastRenderedPageBreak/>
        <w:t>Por inexecução ou execução irregular do fornecimento ou de prestação de serviços, nos termos da ATA:</w:t>
      </w:r>
    </w:p>
    <w:p w:rsidR="00E100D4" w:rsidRDefault="00E100D4" w:rsidP="00E100D4">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Advertência, por escrito;</w:t>
      </w:r>
    </w:p>
    <w:p w:rsidR="00E100D4" w:rsidRDefault="00E100D4" w:rsidP="00E100D4">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asciiTheme="minorHAnsi" w:eastAsia="Calibri" w:hAnsiTheme="minorHAnsi" w:cstheme="minorHAnsi"/>
          <w:color w:val="000000"/>
          <w:sz w:val="22"/>
          <w:szCs w:val="22"/>
        </w:rPr>
        <w:t>;</w:t>
      </w:r>
    </w:p>
    <w:p w:rsidR="00E100D4" w:rsidRDefault="00E100D4" w:rsidP="00E100D4">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Liberação da referida Ata e cancelamen</w:t>
      </w:r>
    </w:p>
    <w:p w:rsidR="00E100D4" w:rsidRDefault="00E100D4" w:rsidP="00E100D4">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to do preço registrado após o 10º (décimo) dia de atraso</w:t>
      </w:r>
      <w:r>
        <w:rPr>
          <w:rFonts w:asciiTheme="minorHAnsi" w:eastAsia="Calibri" w:hAnsiTheme="minorHAnsi" w:cstheme="minorHAnsi"/>
          <w:color w:val="000000"/>
          <w:sz w:val="22"/>
          <w:szCs w:val="22"/>
        </w:rPr>
        <w:t>;</w:t>
      </w:r>
    </w:p>
    <w:p w:rsidR="00E100D4" w:rsidRDefault="00E100D4" w:rsidP="00E100D4">
      <w:pPr>
        <w:numPr>
          <w:ilvl w:val="0"/>
          <w:numId w:val="34"/>
        </w:numPr>
        <w:spacing w:after="0" w:line="240" w:lineRule="auto"/>
        <w:ind w:left="1276" w:hanging="567"/>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Multa compensatória de</w:t>
      </w:r>
      <w:r>
        <w:rPr>
          <w:rFonts w:asciiTheme="minorHAnsi" w:eastAsia="Calibri" w:hAnsiTheme="minorHAnsi" w:cstheme="minorHAnsi"/>
          <w:sz w:val="22"/>
          <w:szCs w:val="22"/>
        </w:rPr>
        <w:t>:</w:t>
      </w:r>
    </w:p>
    <w:p w:rsidR="00E100D4" w:rsidRDefault="00E100D4" w:rsidP="00E100D4">
      <w:pPr>
        <w:numPr>
          <w:ilvl w:val="0"/>
          <w:numId w:val="36"/>
        </w:numPr>
        <w:spacing w:after="0" w:line="240" w:lineRule="auto"/>
        <w:ind w:left="1701" w:hanging="425"/>
        <w:jc w:val="both"/>
        <w:rPr>
          <w:rFonts w:asciiTheme="minorHAnsi" w:eastAsia="Batang" w:hAnsiTheme="minorHAnsi" w:cstheme="minorHAnsi"/>
          <w:sz w:val="22"/>
          <w:szCs w:val="22"/>
        </w:rPr>
      </w:pPr>
      <w:r>
        <w:rPr>
          <w:rFonts w:asciiTheme="minorHAnsi" w:eastAsia="Batang" w:hAnsiTheme="minorHAnsi" w:cstheme="minorHAnsi"/>
          <w:sz w:val="22"/>
          <w:szCs w:val="22"/>
        </w:rPr>
        <w:t>3% (três por cento) sobre o valor correspondente a parte não cumprida da Ata de Registro por ocorrência, até o limite de 9% (nove por cento), em caso de inexecução parcial da presente Ata; e</w:t>
      </w:r>
    </w:p>
    <w:p w:rsidR="00E100D4" w:rsidRDefault="00E100D4" w:rsidP="00E100D4">
      <w:pPr>
        <w:numPr>
          <w:ilvl w:val="0"/>
          <w:numId w:val="36"/>
        </w:numPr>
        <w:spacing w:after="0" w:line="240" w:lineRule="auto"/>
        <w:ind w:left="1701" w:hanging="425"/>
        <w:jc w:val="both"/>
        <w:rPr>
          <w:rFonts w:asciiTheme="minorHAnsi" w:eastAsia="Batang" w:hAnsiTheme="minorHAnsi" w:cstheme="minorHAnsi"/>
          <w:sz w:val="22"/>
          <w:szCs w:val="22"/>
        </w:rPr>
      </w:pPr>
      <w:r>
        <w:rPr>
          <w:rFonts w:asciiTheme="minorHAnsi" w:eastAsia="Batang" w:hAnsiTheme="minorHAnsi" w:cstheme="minorHAnsi"/>
          <w:sz w:val="22"/>
          <w:szCs w:val="22"/>
        </w:rPr>
        <w:t>30% (trinta por cento) sobre o valor da Ata de Registro, em caso de inexecução total da obrigação assumida.</w:t>
      </w:r>
    </w:p>
    <w:p w:rsidR="00E100D4" w:rsidRDefault="00E100D4" w:rsidP="00E100D4">
      <w:pPr>
        <w:ind w:left="1701"/>
        <w:jc w:val="both"/>
        <w:rPr>
          <w:rFonts w:asciiTheme="minorHAnsi" w:eastAsia="Batang"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Pr>
          <w:rFonts w:asciiTheme="minorHAnsi" w:eastAsia="Calibri" w:hAnsiTheme="minorHAnsi" w:cstheme="minorHAnsi"/>
          <w:sz w:val="22"/>
          <w:szCs w:val="22"/>
        </w:rPr>
        <w:t>:</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numPr>
          <w:ilvl w:val="0"/>
          <w:numId w:val="40"/>
        </w:numPr>
        <w:spacing w:after="0" w:line="240" w:lineRule="auto"/>
        <w:ind w:left="284" w:firstLine="0"/>
        <w:jc w:val="both"/>
        <w:rPr>
          <w:rFonts w:asciiTheme="minorHAnsi" w:eastAsia="Calibri" w:hAnsiTheme="minorHAnsi" w:cstheme="minorHAnsi"/>
          <w:color w:val="000000"/>
          <w:sz w:val="22"/>
          <w:szCs w:val="22"/>
        </w:rPr>
      </w:pPr>
      <w:r>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Pr>
          <w:rFonts w:asciiTheme="minorHAnsi" w:eastAsia="Calibri" w:hAnsiTheme="minorHAnsi" w:cstheme="minorHAnsi"/>
          <w:color w:val="000000"/>
          <w:sz w:val="22"/>
          <w:szCs w:val="22"/>
        </w:rPr>
        <w:t>.</w:t>
      </w:r>
    </w:p>
    <w:p w:rsidR="00E100D4" w:rsidRDefault="00E100D4" w:rsidP="00E100D4">
      <w:pPr>
        <w:jc w:val="both"/>
        <w:rPr>
          <w:rFonts w:asciiTheme="minorHAnsi" w:eastAsia="Calibri" w:hAnsiTheme="minorHAnsi" w:cstheme="minorHAnsi"/>
          <w:color w:val="000000"/>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asciiTheme="minorHAnsi" w:eastAsia="Calibri" w:hAnsiTheme="minorHAnsi" w:cstheme="minorHAnsi"/>
          <w:sz w:val="22"/>
          <w:szCs w:val="22"/>
        </w:rPr>
        <w:t>.</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As penalidades aplicadas serão, obrigatoriamente, anotadas no Certificado de Registro Cadastral do Fornecedor</w:t>
      </w:r>
      <w:r>
        <w:rPr>
          <w:rFonts w:asciiTheme="minorHAnsi" w:eastAsia="Calibri" w:hAnsiTheme="minorHAnsi" w:cstheme="minorHAnsi"/>
          <w:sz w:val="22"/>
          <w:szCs w:val="22"/>
        </w:rPr>
        <w:t>.</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 xml:space="preserve">As penalidades estabelecidas em lei não excluem qualquer outra prevista nesta Ata de Registro, nem a responsabilidade do Compromitente Fornecedor por perdas, danos e prejuízos, que causar ao Município de Coronel Sapucaia-MS ou a terceiros em consequência do </w:t>
      </w:r>
      <w:r>
        <w:rPr>
          <w:rFonts w:asciiTheme="minorHAnsi" w:eastAsia="Batang" w:hAnsiTheme="minorHAnsi" w:cstheme="minorHAnsi"/>
          <w:sz w:val="22"/>
          <w:szCs w:val="22"/>
        </w:rPr>
        <w:lastRenderedPageBreak/>
        <w:t>inadimplemento das condições contratuais</w:t>
      </w:r>
      <w:r>
        <w:rPr>
          <w:rFonts w:asciiTheme="minorHAnsi" w:eastAsia="Calibri" w:hAnsiTheme="minorHAnsi" w:cstheme="minorHAnsi"/>
          <w:sz w:val="22"/>
          <w:szCs w:val="22"/>
        </w:rPr>
        <w:t>.</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Batang" w:hAnsiTheme="minorHAnsi" w:cstheme="minorHAnsi"/>
          <w:sz w:val="22"/>
          <w:szCs w:val="22"/>
        </w:rPr>
        <w:t>Os danos e prejuízos serão ressarcidos ao Município de Coronel Sapucaia-MS no prazo máximo de 48 (quarenta e oito) horas, contado da notificação administrativa do Compromitente Fornecedor, sob pena de multa</w:t>
      </w:r>
      <w:r>
        <w:rPr>
          <w:rFonts w:asciiTheme="minorHAnsi" w:eastAsia="Calibri" w:hAnsiTheme="minorHAnsi" w:cstheme="minorHAnsi"/>
          <w:sz w:val="22"/>
          <w:szCs w:val="22"/>
        </w:rPr>
        <w:t>.</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widowControl w:val="0"/>
        <w:numPr>
          <w:ilvl w:val="1"/>
          <w:numId w:val="38"/>
        </w:numPr>
        <w:suppressAutoHyphens/>
        <w:spacing w:after="0" w:line="240" w:lineRule="auto"/>
        <w:ind w:left="0"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100D4" w:rsidRDefault="00E100D4" w:rsidP="00E100D4">
      <w:pPr>
        <w:widowControl w:val="0"/>
        <w:suppressAutoHyphens/>
        <w:jc w:val="both"/>
        <w:rPr>
          <w:rFonts w:asciiTheme="minorHAnsi" w:eastAsia="Calibri" w:hAnsiTheme="minorHAnsi" w:cstheme="minorHAnsi"/>
          <w:sz w:val="22"/>
          <w:szCs w:val="22"/>
        </w:rPr>
      </w:pPr>
    </w:p>
    <w:p w:rsidR="00E100D4" w:rsidRDefault="00E100D4" w:rsidP="00E100D4">
      <w:pPr>
        <w:mirrorIndents/>
        <w:jc w:val="center"/>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SEGUNDA – </w:t>
      </w:r>
      <w:r>
        <w:rPr>
          <w:rFonts w:asciiTheme="minorHAnsi" w:eastAsia="Calibri" w:hAnsiTheme="minorHAnsi" w:cstheme="minorHAnsi"/>
          <w:b/>
          <w:bCs/>
          <w:color w:val="000000"/>
          <w:sz w:val="22"/>
          <w:szCs w:val="22"/>
        </w:rPr>
        <w:t>DA FRAUDE E DA CORRUPÇÃO</w:t>
      </w:r>
    </w:p>
    <w:p w:rsidR="00E100D4" w:rsidRDefault="00E100D4" w:rsidP="00E100D4">
      <w:pPr>
        <w:widowControl w:val="0"/>
        <w:numPr>
          <w:ilvl w:val="1"/>
          <w:numId w:val="42"/>
        </w:numPr>
        <w:suppressAutoHyphens/>
        <w:spacing w:after="0" w:line="240" w:lineRule="auto"/>
        <w:ind w:left="0" w:firstLine="0"/>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E100D4" w:rsidRDefault="00E100D4" w:rsidP="00E100D4">
      <w:pPr>
        <w:widowControl w:val="0"/>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PRIMEIRA</w:t>
      </w:r>
      <w:r>
        <w:rPr>
          <w:rFonts w:asciiTheme="minorHAnsi" w:eastAsia="Calibri" w:hAnsiTheme="minorHAnsi" w:cstheme="minorHAnsi"/>
          <w:color w:val="000000"/>
          <w:sz w:val="22"/>
          <w:szCs w:val="22"/>
        </w:rPr>
        <w:t xml:space="preserve"> - Para os propósitos desta cláusula, definem-se as seguintes práticas:</w:t>
      </w:r>
    </w:p>
    <w:p w:rsidR="00E100D4" w:rsidRDefault="00E100D4" w:rsidP="00E100D4">
      <w:pPr>
        <w:widowControl w:val="0"/>
        <w:numPr>
          <w:ilvl w:val="0"/>
          <w:numId w:val="44"/>
        </w:numPr>
        <w:suppressAutoHyphens/>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corrupta</w:t>
      </w:r>
      <w:r>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E100D4" w:rsidRDefault="00E100D4" w:rsidP="00E100D4">
      <w:pPr>
        <w:widowControl w:val="0"/>
        <w:numPr>
          <w:ilvl w:val="0"/>
          <w:numId w:val="44"/>
        </w:numPr>
        <w:suppressAutoHyphens/>
        <w:spacing w:after="0" w:line="240" w:lineRule="auto"/>
        <w:ind w:left="1276"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fraudulenta</w:t>
      </w:r>
      <w:r>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E100D4" w:rsidRDefault="00E100D4" w:rsidP="00E100D4">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conluiada</w:t>
      </w:r>
      <w:r>
        <w:rPr>
          <w:rFonts w:asciiTheme="minorHAnsi" w:eastAsia="Calibri" w:hAnsiTheme="minorHAnsi" w:cstheme="minorHAnsi"/>
          <w:color w:val="000000"/>
          <w:sz w:val="22"/>
          <w:szCs w:val="22"/>
        </w:rPr>
        <w:t>”: esquematizar ou estabelecer um acordo entre dois ou mais licitantes, com ou sem o conhecimento de representantes ou prepostos do órgão licitador, visando estabelecer preços em níveis artificiais e não-competitivos;</w:t>
      </w:r>
    </w:p>
    <w:p w:rsidR="00E100D4" w:rsidRDefault="00E100D4" w:rsidP="00E100D4">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coercitiva</w:t>
      </w:r>
      <w:r>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E100D4" w:rsidRDefault="00E100D4" w:rsidP="00E100D4">
      <w:pPr>
        <w:widowControl w:val="0"/>
        <w:numPr>
          <w:ilvl w:val="0"/>
          <w:numId w:val="44"/>
        </w:numPr>
        <w:suppressAutoHyphens/>
        <w:spacing w:after="0" w:line="240" w:lineRule="auto"/>
        <w:ind w:left="1276" w:right="-1" w:hanging="567"/>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r>
        <w:rPr>
          <w:rFonts w:asciiTheme="minorHAnsi" w:eastAsia="Calibri" w:hAnsiTheme="minorHAnsi" w:cstheme="minorHAnsi"/>
          <w:b/>
          <w:color w:val="000000"/>
          <w:sz w:val="22"/>
          <w:szCs w:val="22"/>
        </w:rPr>
        <w:t>prática obstrutiva</w:t>
      </w:r>
      <w:r>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E100D4" w:rsidRDefault="00E100D4" w:rsidP="00E100D4">
      <w:pPr>
        <w:widowControl w:val="0"/>
        <w:suppressAutoHyphens/>
        <w:ind w:left="1276" w:right="-1"/>
        <w:jc w:val="both"/>
        <w:rPr>
          <w:rFonts w:asciiTheme="minorHAnsi" w:eastAsia="Calibri" w:hAnsiTheme="minorHAnsi" w:cstheme="minorHAnsi"/>
          <w:color w:val="000000"/>
          <w:sz w:val="22"/>
          <w:szCs w:val="22"/>
        </w:rPr>
      </w:pPr>
    </w:p>
    <w:p w:rsidR="00E100D4" w:rsidRDefault="00E100D4" w:rsidP="00E100D4">
      <w:pPr>
        <w:widowControl w:val="0"/>
        <w:ind w:left="720" w:right="-1" w:hanging="11"/>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SEGUNDA</w:t>
      </w:r>
      <w:r>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E100D4" w:rsidRDefault="00E100D4" w:rsidP="00E100D4">
      <w:pPr>
        <w:widowControl w:val="0"/>
        <w:ind w:left="720" w:right="-1" w:hanging="11"/>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SUBCLÁUSULA TERCEIRA</w:t>
      </w:r>
      <w:r>
        <w:rPr>
          <w:rFonts w:asciiTheme="minorHAnsi" w:eastAsia="Calibri" w:hAnsiTheme="minorHAnsi" w:cstheme="minorHAnsi"/>
          <w:color w:val="000000"/>
          <w:sz w:val="22"/>
          <w:szCs w:val="22"/>
        </w:rPr>
        <w:t xml:space="preserve"> - Considerando os propósitos das cláusulas acima, o </w:t>
      </w:r>
      <w:r>
        <w:rPr>
          <w:rFonts w:asciiTheme="minorHAnsi" w:eastAsia="Calibri" w:hAnsiTheme="minorHAnsi" w:cstheme="minorHAnsi"/>
          <w:sz w:val="22"/>
          <w:szCs w:val="22"/>
        </w:rPr>
        <w:t>Compromitente Fornecedor</w:t>
      </w:r>
      <w:r>
        <w:rPr>
          <w:rFonts w:asciiTheme="minorHAnsi" w:eastAsia="Calibri" w:hAnsiTheme="minorHAnsi" w:cstheme="minorHAnsi"/>
          <w:color w:val="000000"/>
          <w:sz w:val="22"/>
          <w:szCs w:val="22"/>
        </w:rPr>
        <w:t xml:space="preserve"> concorda e autoriza que, na hipótese de o contrato vir a </w:t>
      </w:r>
      <w:r>
        <w:rPr>
          <w:rFonts w:asciiTheme="minorHAnsi" w:eastAsia="Calibri" w:hAnsiTheme="minorHAnsi" w:cstheme="minorHAnsi"/>
          <w:color w:val="000000"/>
          <w:sz w:val="22"/>
          <w:szCs w:val="22"/>
        </w:rPr>
        <w:lastRenderedPageBreak/>
        <w:t xml:space="preserve">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E100D4" w:rsidRDefault="00E100D4" w:rsidP="00E100D4">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TERCEIRA – </w:t>
      </w:r>
      <w:r>
        <w:rPr>
          <w:rFonts w:asciiTheme="minorHAnsi" w:eastAsia="Calibri" w:hAnsiTheme="minorHAnsi" w:cstheme="minorHAnsi"/>
          <w:b/>
          <w:bCs/>
          <w:color w:val="000000"/>
          <w:sz w:val="22"/>
          <w:szCs w:val="22"/>
        </w:rPr>
        <w:t>DA EFICÁCIA</w:t>
      </w:r>
    </w:p>
    <w:p w:rsidR="00E100D4" w:rsidRDefault="00E100D4" w:rsidP="00E100D4">
      <w:pPr>
        <w:widowControl w:val="0"/>
        <w:numPr>
          <w:ilvl w:val="1"/>
          <w:numId w:val="46"/>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rsidR="00E100D4" w:rsidRDefault="00E100D4" w:rsidP="00E100D4">
      <w:pPr>
        <w:widowControl w:val="0"/>
        <w:ind w:right="-1"/>
        <w:jc w:val="both"/>
        <w:rPr>
          <w:rFonts w:asciiTheme="minorHAnsi" w:eastAsia="Calibri" w:hAnsiTheme="minorHAnsi" w:cstheme="minorHAnsi"/>
          <w:sz w:val="22"/>
          <w:szCs w:val="22"/>
        </w:rPr>
      </w:pPr>
    </w:p>
    <w:p w:rsidR="00E100D4" w:rsidRDefault="00E100D4" w:rsidP="00E100D4">
      <w:pPr>
        <w:mirrorIndents/>
        <w:rPr>
          <w:rFonts w:asciiTheme="minorHAnsi" w:eastAsia="Calibri" w:hAnsiTheme="minorHAnsi" w:cstheme="minorHAnsi"/>
          <w:b/>
          <w:bCs/>
          <w:color w:val="000000"/>
          <w:sz w:val="22"/>
          <w:szCs w:val="22"/>
        </w:rPr>
      </w:pPr>
      <w:r>
        <w:rPr>
          <w:rFonts w:asciiTheme="minorHAnsi" w:eastAsia="Calibri" w:hAnsiTheme="minorHAnsi" w:cstheme="minorHAnsi"/>
          <w:b/>
          <w:color w:val="000000"/>
          <w:sz w:val="22"/>
          <w:szCs w:val="22"/>
        </w:rPr>
        <w:t xml:space="preserve">CLÁUSULA DÉCIMA QUARTA – </w:t>
      </w:r>
      <w:r>
        <w:rPr>
          <w:rFonts w:asciiTheme="minorHAnsi" w:eastAsia="Calibri" w:hAnsiTheme="minorHAnsi" w:cstheme="minorHAnsi"/>
          <w:b/>
          <w:bCs/>
          <w:color w:val="000000"/>
          <w:sz w:val="22"/>
          <w:szCs w:val="22"/>
        </w:rPr>
        <w:t>DO FORO</w:t>
      </w:r>
    </w:p>
    <w:p w:rsidR="00E100D4" w:rsidRDefault="00E100D4" w:rsidP="00E100D4">
      <w:pPr>
        <w:widowControl w:val="0"/>
        <w:numPr>
          <w:ilvl w:val="1"/>
          <w:numId w:val="48"/>
        </w:numPr>
        <w:spacing w:after="0" w:line="240" w:lineRule="auto"/>
        <w:ind w:left="0" w:right="-1" w:firstLine="0"/>
        <w:jc w:val="both"/>
        <w:rPr>
          <w:rFonts w:asciiTheme="minorHAnsi" w:eastAsia="Calibri" w:hAnsiTheme="minorHAnsi" w:cstheme="minorHAnsi"/>
          <w:sz w:val="22"/>
          <w:szCs w:val="22"/>
        </w:rPr>
      </w:pPr>
      <w:r>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Pr>
          <w:rFonts w:asciiTheme="minorHAnsi" w:eastAsia="Calibri" w:hAnsiTheme="minorHAnsi" w:cstheme="minorHAnsi"/>
          <w:sz w:val="22"/>
          <w:szCs w:val="22"/>
        </w:rPr>
        <w:t>oriundas do presente instrumento</w:t>
      </w:r>
      <w:r>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Pr>
          <w:rFonts w:asciiTheme="minorHAnsi" w:eastAsia="Calibri" w:hAnsiTheme="minorHAnsi" w:cstheme="minorHAnsi"/>
          <w:sz w:val="22"/>
          <w:szCs w:val="22"/>
        </w:rPr>
        <w:t>.</w:t>
      </w:r>
    </w:p>
    <w:p w:rsidR="00E100D4" w:rsidRDefault="00E100D4" w:rsidP="00E100D4">
      <w:pPr>
        <w:widowControl w:val="0"/>
        <w:ind w:right="-1"/>
        <w:jc w:val="both"/>
        <w:rPr>
          <w:rFonts w:asciiTheme="minorHAnsi" w:eastAsia="Calibri" w:hAnsiTheme="minorHAnsi" w:cstheme="minorHAnsi"/>
          <w:sz w:val="22"/>
          <w:szCs w:val="22"/>
        </w:rPr>
      </w:pPr>
    </w:p>
    <w:p w:rsidR="00E100D4" w:rsidRDefault="00E100D4" w:rsidP="00E100D4">
      <w:pPr>
        <w:widowControl w:val="0"/>
        <w:jc w:val="both"/>
        <w:rPr>
          <w:rFonts w:asciiTheme="minorHAnsi" w:eastAsia="Calibri" w:hAnsiTheme="minorHAnsi" w:cstheme="minorHAnsi"/>
          <w:sz w:val="22"/>
          <w:szCs w:val="22"/>
        </w:rPr>
      </w:pPr>
      <w:r>
        <w:rPr>
          <w:rFonts w:asciiTheme="minorHAnsi" w:eastAsia="Calibri" w:hAnsiTheme="minorHAnsi" w:cstheme="minorHAnsi"/>
          <w:sz w:val="22"/>
          <w:szCs w:val="22"/>
        </w:rPr>
        <w:t>E, por estarem as partes justas e compromissadas, assinam o presente Termo em três vias, de igual teor, na presença das testemunhas abaixo assinadas.</w:t>
      </w:r>
    </w:p>
    <w:p w:rsidR="00E100D4" w:rsidRDefault="00E100D4" w:rsidP="00E100D4">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Coronel Sapucaia-MS, 03  de Abril de 2023.</w:t>
      </w:r>
    </w:p>
    <w:tbl>
      <w:tblPr>
        <w:tblW w:w="10110" w:type="dxa"/>
        <w:tblLayout w:type="fixed"/>
        <w:tblCellMar>
          <w:left w:w="70" w:type="dxa"/>
          <w:right w:w="70" w:type="dxa"/>
        </w:tblCellMar>
        <w:tblLook w:val="04A0" w:firstRow="1" w:lastRow="0" w:firstColumn="1" w:lastColumn="0" w:noHBand="0" w:noVBand="1"/>
      </w:tblPr>
      <w:tblGrid>
        <w:gridCol w:w="10110"/>
      </w:tblGrid>
      <w:tr w:rsidR="00E100D4" w:rsidTr="00E100D4">
        <w:trPr>
          <w:trHeight w:val="422"/>
        </w:trPr>
        <w:tc>
          <w:tcPr>
            <w:tcW w:w="10113" w:type="dxa"/>
            <w:vAlign w:val="center"/>
          </w:tcPr>
          <w:p w:rsidR="00E100D4" w:rsidRDefault="00E100D4">
            <w:pPr>
              <w:tabs>
                <w:tab w:val="right" w:pos="9781"/>
              </w:tabs>
              <w:spacing w:after="0" w:line="240" w:lineRule="auto"/>
              <w:ind w:right="-143"/>
              <w:jc w:val="center"/>
              <w:rPr>
                <w:rFonts w:asciiTheme="minorHAnsi" w:eastAsia="Calibri" w:hAnsiTheme="minorHAnsi" w:cstheme="minorHAnsi"/>
                <w:bCs/>
                <w:i/>
                <w:sz w:val="22"/>
                <w:szCs w:val="22"/>
                <w:lang w:eastAsia="en-US"/>
              </w:rPr>
            </w:pPr>
          </w:p>
          <w:p w:rsidR="00E100D4" w:rsidRDefault="00E100D4">
            <w:pPr>
              <w:tabs>
                <w:tab w:val="right" w:pos="9781"/>
              </w:tabs>
              <w:spacing w:after="0" w:line="240" w:lineRule="auto"/>
              <w:ind w:right="-143"/>
              <w:jc w:val="center"/>
              <w:rPr>
                <w:rFonts w:asciiTheme="minorHAnsi" w:eastAsia="Calibri" w:hAnsiTheme="minorHAnsi" w:cstheme="minorHAnsi"/>
                <w:bCs/>
                <w:i/>
                <w:sz w:val="22"/>
                <w:szCs w:val="22"/>
                <w:lang w:eastAsia="en-US"/>
              </w:rPr>
            </w:pPr>
          </w:p>
          <w:p w:rsidR="00E100D4" w:rsidRDefault="00E100D4">
            <w:pPr>
              <w:tabs>
                <w:tab w:val="right" w:pos="9781"/>
              </w:tabs>
              <w:spacing w:after="0" w:line="240" w:lineRule="auto"/>
              <w:ind w:right="-143"/>
              <w:jc w:val="center"/>
              <w:rPr>
                <w:rFonts w:asciiTheme="minorHAnsi" w:eastAsia="Calibri" w:hAnsiTheme="minorHAnsi" w:cstheme="minorHAnsi"/>
                <w:b/>
                <w:bCs/>
                <w:i/>
                <w:sz w:val="22"/>
                <w:szCs w:val="22"/>
                <w:lang w:eastAsia="en-US"/>
              </w:rPr>
            </w:pPr>
            <w:r>
              <w:rPr>
                <w:rFonts w:asciiTheme="minorHAnsi" w:eastAsia="Calibri" w:hAnsiTheme="minorHAnsi" w:cstheme="minorHAnsi"/>
                <w:b/>
                <w:bCs/>
                <w:i/>
                <w:sz w:val="22"/>
                <w:szCs w:val="22"/>
                <w:lang w:eastAsia="en-US"/>
              </w:rPr>
              <w:t xml:space="preserve">Najla Mariano </w:t>
            </w:r>
          </w:p>
          <w:p w:rsidR="00E100D4" w:rsidRDefault="00E100D4">
            <w:pPr>
              <w:tabs>
                <w:tab w:val="right" w:pos="9781"/>
              </w:tabs>
              <w:spacing w:after="0" w:line="240" w:lineRule="auto"/>
              <w:ind w:right="-143"/>
              <w:jc w:val="center"/>
              <w:rPr>
                <w:rFonts w:asciiTheme="minorHAnsi" w:eastAsia="Calibri" w:hAnsiTheme="minorHAnsi" w:cstheme="minorHAnsi"/>
                <w:bCs/>
                <w:i/>
                <w:sz w:val="22"/>
                <w:szCs w:val="22"/>
                <w:lang w:eastAsia="en-US"/>
              </w:rPr>
            </w:pPr>
            <w:r>
              <w:rPr>
                <w:rFonts w:asciiTheme="minorHAnsi" w:eastAsia="Calibri" w:hAnsiTheme="minorHAnsi" w:cstheme="minorHAnsi"/>
                <w:bCs/>
                <w:i/>
                <w:sz w:val="22"/>
                <w:szCs w:val="22"/>
                <w:lang w:eastAsia="en-US"/>
              </w:rPr>
              <w:t>______________________________________________________</w:t>
            </w:r>
          </w:p>
        </w:tc>
      </w:tr>
      <w:tr w:rsidR="00E100D4" w:rsidTr="00E100D4">
        <w:trPr>
          <w:trHeight w:val="397"/>
        </w:trPr>
        <w:tc>
          <w:tcPr>
            <w:tcW w:w="10113" w:type="dxa"/>
            <w:vAlign w:val="center"/>
            <w:hideMark/>
          </w:tcPr>
          <w:p w:rsidR="00E100D4" w:rsidRDefault="00E100D4">
            <w:pPr>
              <w:tabs>
                <w:tab w:val="right" w:pos="9781"/>
              </w:tabs>
              <w:spacing w:after="0" w:line="240" w:lineRule="auto"/>
              <w:ind w:right="-143"/>
              <w:jc w:val="center"/>
              <w:rPr>
                <w:rFonts w:asciiTheme="minorHAnsi" w:eastAsia="Calibri" w:hAnsiTheme="minorHAnsi" w:cstheme="minorHAnsi"/>
                <w:bCs/>
                <w:i/>
                <w:sz w:val="22"/>
                <w:szCs w:val="22"/>
                <w:lang w:eastAsia="en-US"/>
              </w:rPr>
            </w:pPr>
            <w:r>
              <w:rPr>
                <w:rFonts w:asciiTheme="minorHAnsi" w:eastAsia="Calibri" w:hAnsiTheme="minorHAnsi" w:cstheme="minorHAnsi"/>
                <w:bCs/>
                <w:i/>
                <w:sz w:val="22"/>
                <w:szCs w:val="22"/>
                <w:lang w:eastAsia="en-US"/>
              </w:rPr>
              <w:t xml:space="preserve">Secretaria Municipal de Saúde Pública </w:t>
            </w:r>
          </w:p>
        </w:tc>
      </w:tr>
    </w:tbl>
    <w:p w:rsidR="00E100D4" w:rsidRDefault="00E100D4" w:rsidP="00E100D4">
      <w:pPr>
        <w:tabs>
          <w:tab w:val="right" w:pos="9781"/>
        </w:tabs>
        <w:spacing w:after="0" w:line="240" w:lineRule="auto"/>
        <w:ind w:right="-143"/>
        <w:jc w:val="both"/>
        <w:rPr>
          <w:rFonts w:asciiTheme="minorHAnsi" w:eastAsia="Calibri" w:hAnsiTheme="minorHAnsi" w:cstheme="minorHAnsi"/>
          <w:i/>
          <w:sz w:val="22"/>
          <w:szCs w:val="22"/>
        </w:rPr>
      </w:pPr>
    </w:p>
    <w:p w:rsidR="00E100D4" w:rsidRDefault="00E100D4" w:rsidP="00E100D4">
      <w:pPr>
        <w:tabs>
          <w:tab w:val="right" w:pos="9781"/>
        </w:tabs>
        <w:spacing w:after="0" w:line="240" w:lineRule="auto"/>
        <w:ind w:right="-143"/>
        <w:jc w:val="both"/>
        <w:rPr>
          <w:rFonts w:asciiTheme="minorHAnsi" w:eastAsia="Calibri" w:hAnsiTheme="minorHAnsi" w:cstheme="minorHAnsi"/>
          <w:i/>
          <w:sz w:val="22"/>
          <w:szCs w:val="22"/>
        </w:rPr>
      </w:pPr>
      <w:r>
        <w:rPr>
          <w:rFonts w:asciiTheme="minorHAnsi" w:eastAsia="Calibri" w:hAnsiTheme="minorHAnsi" w:cstheme="minorHAnsi"/>
          <w:i/>
          <w:sz w:val="22"/>
          <w:szCs w:val="22"/>
        </w:rPr>
        <w:t>Promitentes Fornecedores:</w:t>
      </w:r>
    </w:p>
    <w:p w:rsidR="00E100D4" w:rsidRDefault="00E100D4" w:rsidP="00E100D4">
      <w:pPr>
        <w:tabs>
          <w:tab w:val="right" w:pos="9781"/>
        </w:tabs>
        <w:spacing w:after="0" w:line="240" w:lineRule="auto"/>
        <w:ind w:right="-142"/>
        <w:jc w:val="both"/>
        <w:rPr>
          <w:rFonts w:asciiTheme="minorHAnsi" w:eastAsia="Calibri" w:hAnsiTheme="minorHAnsi" w:cstheme="minorHAnsi"/>
          <w:b/>
          <w:sz w:val="22"/>
          <w:szCs w:val="22"/>
        </w:rPr>
      </w:pPr>
      <w:r>
        <w:rPr>
          <w:rFonts w:asciiTheme="minorHAnsi" w:eastAsia="Calibri" w:hAnsiTheme="minorHAnsi" w:cstheme="minorHAnsi"/>
          <w:b/>
          <w:sz w:val="22"/>
          <w:szCs w:val="22"/>
        </w:rPr>
        <w:t>CRISMED COMERCIO DE PRODUTOS PARA SAÚDE LTDA</w:t>
      </w:r>
    </w:p>
    <w:p w:rsidR="00E100D4" w:rsidRDefault="008C78E8" w:rsidP="00E100D4">
      <w:pPr>
        <w:tabs>
          <w:tab w:val="right" w:pos="9781"/>
        </w:tabs>
        <w:spacing w:after="0" w:line="240" w:lineRule="auto"/>
        <w:ind w:right="-142"/>
        <w:jc w:val="both"/>
        <w:rPr>
          <w:rFonts w:asciiTheme="minorHAnsi" w:eastAsia="Calibri" w:hAnsiTheme="minorHAnsi" w:cstheme="minorHAnsi"/>
          <w:sz w:val="22"/>
          <w:szCs w:val="22"/>
        </w:rPr>
      </w:pPr>
      <w:r w:rsidRPr="008C78E8">
        <w:rPr>
          <w:rFonts w:asciiTheme="minorHAnsi" w:eastAsia="Calibri" w:hAnsiTheme="minorHAnsi" w:cstheme="minorHAnsi"/>
          <w:sz w:val="22"/>
          <w:szCs w:val="22"/>
        </w:rPr>
        <w:t>KELLY HARIADINE DOS SANTOS RIBAS DO COUTO</w:t>
      </w:r>
    </w:p>
    <w:p w:rsidR="00E100D4" w:rsidRDefault="00E100D4" w:rsidP="00E100D4">
      <w:pPr>
        <w:tabs>
          <w:tab w:val="right" w:pos="9781"/>
        </w:tabs>
        <w:spacing w:after="0" w:line="240" w:lineRule="auto"/>
        <w:ind w:right="-142"/>
        <w:jc w:val="both"/>
        <w:rPr>
          <w:rFonts w:asciiTheme="minorHAnsi" w:eastAsia="Calibri" w:hAnsiTheme="minorHAnsi" w:cstheme="minorHAnsi"/>
          <w:sz w:val="22"/>
          <w:szCs w:val="22"/>
        </w:rPr>
      </w:pPr>
    </w:p>
    <w:p w:rsidR="00E100D4" w:rsidRDefault="00E100D4" w:rsidP="00E100D4">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E100D4" w:rsidRDefault="00E100D4" w:rsidP="00E100D4">
      <w:pPr>
        <w:tabs>
          <w:tab w:val="right" w:pos="9781"/>
        </w:tabs>
        <w:spacing w:after="0" w:line="240" w:lineRule="auto"/>
        <w:ind w:right="-142"/>
        <w:jc w:val="both"/>
        <w:rPr>
          <w:rFonts w:asciiTheme="minorHAnsi" w:eastAsia="Calibri" w:hAnsiTheme="minorHAnsi" w:cstheme="minorHAnsi"/>
          <w:bCs/>
          <w:i/>
          <w:iCs/>
          <w:color w:val="000000"/>
          <w:sz w:val="22"/>
          <w:szCs w:val="22"/>
        </w:rPr>
      </w:pPr>
      <w:r>
        <w:rPr>
          <w:rFonts w:asciiTheme="minorHAnsi" w:eastAsia="Calibri" w:hAnsiTheme="minorHAnsi" w:cstheme="minorHAnsi"/>
          <w:bCs/>
          <w:i/>
          <w:iCs/>
          <w:color w:val="000000"/>
          <w:sz w:val="22"/>
          <w:szCs w:val="22"/>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E100D4" w:rsidTr="00E100D4">
        <w:tc>
          <w:tcPr>
            <w:tcW w:w="4996" w:type="dxa"/>
          </w:tcPr>
          <w:p w:rsidR="00E100D4" w:rsidRDefault="00E100D4">
            <w:pPr>
              <w:spacing w:after="0" w:line="240" w:lineRule="auto"/>
              <w:jc w:val="center"/>
              <w:rPr>
                <w:rFonts w:ascii="Arial Narrow" w:eastAsia="TimesNewRomanPS-BoldMT" w:hAnsi="Arial Narrow" w:cs="Arial"/>
                <w:sz w:val="26"/>
                <w:szCs w:val="26"/>
                <w:lang w:eastAsia="en-US"/>
              </w:rPr>
            </w:pPr>
          </w:p>
          <w:p w:rsidR="00E100D4" w:rsidRDefault="00E100D4">
            <w:pPr>
              <w:spacing w:after="0" w:line="240" w:lineRule="auto"/>
              <w:jc w:val="center"/>
              <w:rPr>
                <w:rFonts w:ascii="Arial Narrow" w:eastAsia="TimesNewRomanPS-BoldMT" w:hAnsi="Arial Narrow" w:cs="Arial"/>
                <w:sz w:val="26"/>
                <w:szCs w:val="26"/>
                <w:lang w:eastAsia="en-US"/>
              </w:rPr>
            </w:pP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___________________________</w:t>
            </w: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Narrow"/>
                <w:sz w:val="26"/>
                <w:szCs w:val="26"/>
                <w:lang w:eastAsia="en-US"/>
              </w:rPr>
              <w:t>Gabrielly Ap. de Sousa Silva</w:t>
            </w: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 xml:space="preserve">CPF: </w:t>
            </w:r>
            <w:r>
              <w:rPr>
                <w:rFonts w:ascii="Arial Narrow" w:eastAsia="TimesNewRomanPS-BoldMT" w:hAnsi="Arial Narrow" w:cs="Arial Narrow"/>
                <w:sz w:val="26"/>
                <w:szCs w:val="26"/>
                <w:lang w:eastAsia="en-US"/>
              </w:rPr>
              <w:t>073.442.261-03</w:t>
            </w:r>
          </w:p>
        </w:tc>
        <w:tc>
          <w:tcPr>
            <w:tcW w:w="4997" w:type="dxa"/>
          </w:tcPr>
          <w:p w:rsidR="00E100D4" w:rsidRDefault="00E100D4">
            <w:pPr>
              <w:spacing w:after="0" w:line="240" w:lineRule="auto"/>
              <w:jc w:val="center"/>
              <w:rPr>
                <w:rFonts w:ascii="Arial Narrow" w:eastAsia="TimesNewRomanPS-BoldMT" w:hAnsi="Arial Narrow" w:cs="Arial"/>
                <w:sz w:val="26"/>
                <w:szCs w:val="26"/>
                <w:lang w:eastAsia="en-US"/>
              </w:rPr>
            </w:pP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___________________________</w:t>
            </w: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Narrow"/>
                <w:sz w:val="26"/>
                <w:szCs w:val="26"/>
                <w:lang w:eastAsia="en-US"/>
              </w:rPr>
              <w:t>Gessica Scarco</w:t>
            </w:r>
          </w:p>
          <w:p w:rsidR="00E100D4" w:rsidRDefault="00E100D4">
            <w:pPr>
              <w:spacing w:after="0" w:line="240" w:lineRule="auto"/>
              <w:jc w:val="center"/>
              <w:rPr>
                <w:rFonts w:ascii="Arial Narrow" w:eastAsia="TimesNewRomanPS-BoldMT" w:hAnsi="Arial Narrow" w:cs="Arial"/>
                <w:sz w:val="26"/>
                <w:szCs w:val="26"/>
                <w:lang w:eastAsia="en-US"/>
              </w:rPr>
            </w:pPr>
            <w:r>
              <w:rPr>
                <w:rFonts w:ascii="Arial Narrow" w:eastAsia="TimesNewRomanPS-BoldMT" w:hAnsi="Arial Narrow" w:cs="Arial"/>
                <w:sz w:val="26"/>
                <w:szCs w:val="26"/>
                <w:lang w:eastAsia="en-US"/>
              </w:rPr>
              <w:t xml:space="preserve">CPF: </w:t>
            </w:r>
            <w:r>
              <w:rPr>
                <w:rFonts w:ascii="Arial Narrow" w:eastAsia="TimesNewRomanPS-BoldMT" w:hAnsi="Arial Narrow" w:cs="Arial Narrow"/>
                <w:sz w:val="26"/>
                <w:szCs w:val="26"/>
                <w:lang w:eastAsia="en-US"/>
              </w:rPr>
              <w:t>079.681.631-02</w:t>
            </w:r>
          </w:p>
        </w:tc>
      </w:tr>
    </w:tbl>
    <w:p w:rsidR="00E100D4" w:rsidRDefault="00E100D4" w:rsidP="00E100D4">
      <w:pPr>
        <w:pStyle w:val="Recuodecorpodetexto"/>
        <w:widowControl w:val="0"/>
        <w:tabs>
          <w:tab w:val="left" w:pos="709"/>
          <w:tab w:val="left" w:pos="1276"/>
        </w:tabs>
        <w:spacing w:after="0" w:line="240" w:lineRule="auto"/>
        <w:jc w:val="center"/>
        <w:rPr>
          <w:rFonts w:asciiTheme="minorHAnsi" w:hAnsiTheme="minorHAnsi" w:cstheme="minorHAnsi"/>
          <w:sz w:val="22"/>
          <w:szCs w:val="22"/>
        </w:rPr>
      </w:pPr>
    </w:p>
    <w:p w:rsidR="00E100D4" w:rsidRDefault="00E100D4" w:rsidP="00E100D4"/>
    <w:p w:rsidR="00931A41" w:rsidRDefault="00931A41"/>
    <w:sectPr w:rsidR="00931A4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3361" w:rsidRDefault="008D3361" w:rsidP="008D3361">
      <w:pPr>
        <w:spacing w:after="0" w:line="240" w:lineRule="auto"/>
      </w:pPr>
      <w:r>
        <w:separator/>
      </w:r>
    </w:p>
  </w:endnote>
  <w:endnote w:type="continuationSeparator" w:id="0">
    <w:p w:rsidR="008D3361" w:rsidRDefault="008D3361" w:rsidP="008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3361" w:rsidRDefault="008D3361" w:rsidP="008D3361">
      <w:pPr>
        <w:spacing w:after="0" w:line="240" w:lineRule="auto"/>
      </w:pPr>
      <w:r>
        <w:separator/>
      </w:r>
    </w:p>
  </w:footnote>
  <w:footnote w:type="continuationSeparator" w:id="0">
    <w:p w:rsidR="008D3361" w:rsidRDefault="008D3361" w:rsidP="008D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F0D75" w:rsidRDefault="005F0D75" w:rsidP="005F0D75">
    <w:pPr>
      <w:rPr>
        <w:rFonts w:ascii="Arial Narrow" w:hAnsi="Arial Narrow"/>
        <w:b/>
      </w:rPr>
    </w:pPr>
    <w:r>
      <w:rPr>
        <w:rFonts w:ascii="Arial" w:eastAsia="Calibri" w:hAnsi="Arial" w:cs="Arial"/>
        <w:b/>
        <w:noProof/>
        <w:sz w:val="18"/>
      </w:rPr>
      <w:drawing>
        <wp:inline distT="0" distB="0" distL="0" distR="0">
          <wp:extent cx="1009650" cy="428625"/>
          <wp:effectExtent l="0" t="0" r="0" b="9525"/>
          <wp:docPr id="1" name="Imagem 1" descr="Descrição: 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28625"/>
                  </a:xfrm>
                  <a:prstGeom prst="rect">
                    <a:avLst/>
                  </a:prstGeom>
                  <a:noFill/>
                  <a:ln>
                    <a:noFill/>
                  </a:ln>
                </pic:spPr>
              </pic:pic>
            </a:graphicData>
          </a:graphic>
        </wp:inline>
      </w:drawing>
    </w:r>
    <w:r>
      <w:rPr>
        <w:rFonts w:ascii="Arial Narrow" w:hAnsi="Arial Narrow"/>
        <w:b/>
      </w:rPr>
      <w:t>PREFEITURA MUNICIPAL DE CORONEL SAPUCAIA</w:t>
    </w:r>
  </w:p>
  <w:p w:rsidR="005F0D75" w:rsidRDefault="005F0D75" w:rsidP="005F0D75">
    <w:pPr>
      <w:ind w:firstLine="708"/>
      <w:rPr>
        <w:rFonts w:ascii="Arial Narrow" w:hAnsi="Arial Narrow"/>
        <w:b/>
      </w:rPr>
    </w:pPr>
    <w:r>
      <w:rPr>
        <w:rFonts w:ascii="Arial Narrow" w:hAnsi="Arial Narrow"/>
        <w:b/>
      </w:rPr>
      <w:t xml:space="preserve">                             ESTADO DE MATO GROSSO DO SUL</w:t>
    </w:r>
  </w:p>
  <w:p w:rsidR="005F0D75" w:rsidRDefault="005F0D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40661BEE"/>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FCDC3148">
      <w:start w:val="1"/>
      <w:numFmt w:val="upperLetter"/>
      <w:lvlText w:val="%5."/>
      <w:lvlJc w:val="left"/>
      <w:pPr>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50A"/>
    <w:rsid w:val="0039620D"/>
    <w:rsid w:val="005F0D75"/>
    <w:rsid w:val="008C78E8"/>
    <w:rsid w:val="008D3361"/>
    <w:rsid w:val="00931A41"/>
    <w:rsid w:val="00E100D4"/>
    <w:rsid w:val="00F60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F368"/>
  <w15:docId w15:val="{B1BE688C-2727-488F-AFE7-677EA4AD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D4"/>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00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00D4"/>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E100D4"/>
    <w:pPr>
      <w:tabs>
        <w:tab w:val="center" w:pos="4252"/>
        <w:tab w:val="right" w:pos="8504"/>
      </w:tabs>
      <w:spacing w:after="0" w:line="240" w:lineRule="auto"/>
    </w:pPr>
  </w:style>
  <w:style w:type="character" w:customStyle="1" w:styleId="RodapChar">
    <w:name w:val="Rodapé Char"/>
    <w:basedOn w:val="Fontepargpadro"/>
    <w:link w:val="Rodap"/>
    <w:uiPriority w:val="99"/>
    <w:rsid w:val="00E100D4"/>
    <w:rPr>
      <w:rFonts w:ascii="Calibri" w:eastAsia="Times New Roman" w:hAnsi="Calibri" w:cs="Times New Roman"/>
      <w:sz w:val="21"/>
      <w:szCs w:val="21"/>
      <w:lang w:eastAsia="pt-BR"/>
    </w:rPr>
  </w:style>
  <w:style w:type="paragraph" w:styleId="Recuodecorpodetexto">
    <w:name w:val="Body Text Indent"/>
    <w:basedOn w:val="Normal"/>
    <w:link w:val="RecuodecorpodetextoChar"/>
    <w:uiPriority w:val="99"/>
    <w:semiHidden/>
    <w:unhideWhenUsed/>
    <w:rsid w:val="00E100D4"/>
    <w:pPr>
      <w:spacing w:after="120"/>
      <w:ind w:left="283"/>
    </w:pPr>
  </w:style>
  <w:style w:type="character" w:customStyle="1" w:styleId="RecuodecorpodetextoChar">
    <w:name w:val="Recuo de corpo de texto Char"/>
    <w:basedOn w:val="Fontepargpadro"/>
    <w:link w:val="Recuodecorpodetexto"/>
    <w:uiPriority w:val="99"/>
    <w:semiHidden/>
    <w:rsid w:val="00E100D4"/>
    <w:rPr>
      <w:rFonts w:ascii="Calibri" w:eastAsia="Times New Roman" w:hAnsi="Calibri" w:cs="Times New Roman"/>
      <w:sz w:val="21"/>
      <w:szCs w:val="21"/>
      <w:lang w:eastAsia="pt-BR"/>
    </w:rPr>
  </w:style>
  <w:style w:type="character" w:customStyle="1" w:styleId="PargrafodaListaChar">
    <w:name w:val="Parágrafo da Lista Char"/>
    <w:link w:val="PargrafodaLista"/>
    <w:uiPriority w:val="1"/>
    <w:locked/>
    <w:rsid w:val="00E100D4"/>
    <w:rPr>
      <w:rFonts w:ascii="Times New Roman" w:eastAsia="Times New Roman" w:hAnsi="Times New Roman" w:cs="Times New Roman"/>
      <w:sz w:val="24"/>
      <w:szCs w:val="24"/>
      <w:lang w:eastAsia="pt-BR"/>
    </w:rPr>
  </w:style>
  <w:style w:type="paragraph" w:styleId="PargrafodaLista">
    <w:name w:val="List Paragraph"/>
    <w:basedOn w:val="Normal"/>
    <w:link w:val="PargrafodaListaChar"/>
    <w:uiPriority w:val="1"/>
    <w:qFormat/>
    <w:rsid w:val="00E100D4"/>
    <w:pPr>
      <w:spacing w:after="0" w:line="240" w:lineRule="auto"/>
      <w:ind w:left="708"/>
    </w:pPr>
    <w:rPr>
      <w:rFonts w:ascii="Times New Roman" w:hAnsi="Times New Roman"/>
      <w:sz w:val="24"/>
      <w:szCs w:val="24"/>
    </w:rPr>
  </w:style>
  <w:style w:type="paragraph" w:styleId="Textodebalo">
    <w:name w:val="Balloon Text"/>
    <w:basedOn w:val="Normal"/>
    <w:link w:val="TextodebaloChar"/>
    <w:uiPriority w:val="99"/>
    <w:semiHidden/>
    <w:unhideWhenUsed/>
    <w:rsid w:val="005F0D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D7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20665">
      <w:bodyDiv w:val="1"/>
      <w:marLeft w:val="0"/>
      <w:marRight w:val="0"/>
      <w:marTop w:val="0"/>
      <w:marBottom w:val="0"/>
      <w:divBdr>
        <w:top w:val="none" w:sz="0" w:space="0" w:color="auto"/>
        <w:left w:val="none" w:sz="0" w:space="0" w:color="auto"/>
        <w:bottom w:val="none" w:sz="0" w:space="0" w:color="auto"/>
        <w:right w:val="none" w:sz="0" w:space="0" w:color="auto"/>
      </w:divBdr>
    </w:div>
    <w:div w:id="8916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4547</Words>
  <Characters>24554</Characters>
  <Application>Microsoft Office Word</Application>
  <DocSecurity>0</DocSecurity>
  <Lines>204</Lines>
  <Paragraphs>58</Paragraphs>
  <ScaleCrop>false</ScaleCrop>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WIN10</cp:lastModifiedBy>
  <cp:revision>6</cp:revision>
  <dcterms:created xsi:type="dcterms:W3CDTF">2023-04-18T14:47:00Z</dcterms:created>
  <dcterms:modified xsi:type="dcterms:W3CDTF">2023-04-20T14:39:00Z</dcterms:modified>
</cp:coreProperties>
</file>