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5" w:rsidRDefault="00AA2AD5" w:rsidP="00AA2AD5">
      <w:pPr>
        <w:shd w:val="clear" w:color="auto" w:fill="FFFFFF"/>
        <w:jc w:val="center"/>
        <w:rPr>
          <w:rFonts w:asciiTheme="minorHAnsi" w:eastAsia="Calibri" w:hAnsiTheme="minorHAnsi" w:cstheme="minorHAnsi"/>
          <w:b/>
          <w:caps/>
          <w:spacing w:val="20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  <w:spacing w:val="20"/>
          <w:sz w:val="22"/>
          <w:szCs w:val="22"/>
          <w:u w:val="single"/>
        </w:rPr>
        <w:t>ATA DE REGISTRO DE PREÇOS N.º 014/ 2023</w:t>
      </w:r>
    </w:p>
    <w:p w:rsidR="00AA2AD5" w:rsidRDefault="00AA2AD5" w:rsidP="00AA2AD5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REPRESENTANTES:</w:t>
      </w:r>
      <w:r>
        <w:rPr>
          <w:rFonts w:asciiTheme="minorHAnsi" w:hAnsiTheme="minorHAnsi" w:cstheme="minorHAnsi"/>
          <w:sz w:val="22"/>
          <w:szCs w:val="22"/>
        </w:rPr>
        <w:t xml:space="preserve"> Representa a </w:t>
      </w:r>
      <w:r>
        <w:rPr>
          <w:rFonts w:asciiTheme="minorHAnsi" w:hAnsiTheme="minorHAnsi" w:cstheme="minorHAnsi"/>
          <w:b/>
          <w:sz w:val="22"/>
          <w:szCs w:val="22"/>
        </w:rPr>
        <w:t>CONTRATANTE</w:t>
      </w:r>
      <w:r>
        <w:rPr>
          <w:rFonts w:asciiTheme="minorHAnsi" w:hAnsiTheme="minorHAnsi" w:cstheme="minorHAnsi"/>
          <w:sz w:val="22"/>
          <w:szCs w:val="22"/>
        </w:rPr>
        <w:t xml:space="preserve"> a Secretária Municipal de Saúde, a senhora </w:t>
      </w:r>
      <w:r>
        <w:rPr>
          <w:rFonts w:ascii="Arial Narrow" w:hAnsi="Arial Narrow"/>
          <w:iCs/>
          <w:sz w:val="24"/>
          <w:szCs w:val="24"/>
        </w:rPr>
        <w:t>MS.</w:t>
      </w:r>
      <w:r>
        <w:rPr>
          <w:rFonts w:ascii="Arial Narrow" w:hAnsi="Arial Narrow"/>
          <w:iCs/>
          <w:sz w:val="24"/>
          <w:szCs w:val="26"/>
        </w:rPr>
        <w:t xml:space="preserve"> Senhora </w:t>
      </w:r>
      <w:proofErr w:type="spellStart"/>
      <w:r>
        <w:rPr>
          <w:rFonts w:ascii="Arial Narrow" w:hAnsi="Arial Narrow"/>
          <w:b/>
          <w:iCs/>
          <w:sz w:val="24"/>
          <w:szCs w:val="26"/>
        </w:rPr>
        <w:t>Najla</w:t>
      </w:r>
      <w:proofErr w:type="spellEnd"/>
      <w:r>
        <w:rPr>
          <w:rFonts w:ascii="Arial Narrow" w:hAnsi="Arial Narrow"/>
          <w:b/>
          <w:iCs/>
          <w:sz w:val="24"/>
          <w:szCs w:val="26"/>
        </w:rPr>
        <w:t xml:space="preserve"> </w:t>
      </w:r>
      <w:proofErr w:type="spellStart"/>
      <w:r>
        <w:rPr>
          <w:rFonts w:ascii="Arial Narrow" w:hAnsi="Arial Narrow"/>
          <w:b/>
          <w:iCs/>
          <w:sz w:val="24"/>
          <w:szCs w:val="26"/>
        </w:rPr>
        <w:t>Marienne</w:t>
      </w:r>
      <w:proofErr w:type="spellEnd"/>
      <w:r>
        <w:rPr>
          <w:rFonts w:ascii="Arial Narrow" w:hAnsi="Arial Narrow"/>
          <w:b/>
          <w:iCs/>
          <w:sz w:val="24"/>
          <w:szCs w:val="26"/>
        </w:rPr>
        <w:t xml:space="preserve"> </w:t>
      </w:r>
      <w:proofErr w:type="spellStart"/>
      <w:r>
        <w:rPr>
          <w:rFonts w:ascii="Arial Narrow" w:hAnsi="Arial Narrow"/>
          <w:b/>
          <w:iCs/>
          <w:sz w:val="24"/>
          <w:szCs w:val="26"/>
        </w:rPr>
        <w:t>Schuck</w:t>
      </w:r>
      <w:proofErr w:type="spellEnd"/>
      <w:r>
        <w:rPr>
          <w:rFonts w:ascii="Arial Narrow" w:hAnsi="Arial Narrow"/>
          <w:b/>
          <w:iCs/>
          <w:sz w:val="24"/>
          <w:szCs w:val="26"/>
        </w:rPr>
        <w:t xml:space="preserve"> Mariano</w:t>
      </w:r>
      <w:r>
        <w:rPr>
          <w:rFonts w:ascii="Arial Narrow" w:hAnsi="Arial Narrow"/>
          <w:iCs/>
          <w:sz w:val="24"/>
          <w:szCs w:val="26"/>
        </w:rPr>
        <w:t xml:space="preserve">, Secretária Municipal de Saúde, Portadora Da CI-RG n.º 648678 SSP/MS e inscrita no CPF/MF nº 855.507.791-53, residente e domiciliada na Rua Gerônimo Martins de Oliveira N° 1515 no Centro de Coronel Sapucaia – </w:t>
      </w:r>
      <w:proofErr w:type="spellStart"/>
      <w:proofErr w:type="gramStart"/>
      <w:r>
        <w:rPr>
          <w:rFonts w:ascii="Arial Narrow" w:hAnsi="Arial Narrow"/>
          <w:iCs/>
          <w:sz w:val="24"/>
          <w:szCs w:val="26"/>
        </w:rPr>
        <w:t>MS.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>e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as empresas abaixo qualificadas, doravante denominadas COMPROMITENTES FORNECEDORES, resolvem firmar a presente Ata de REGISTRO DE PREÇOS PARA EVENTUAL E FUTURA AQUISIÇÃO DE MATERIAL DE CONSUMO ODONTOLÓGICO PARA USO NOS CONSULTORIOS ODONTOLOGICOS DAS UNIDADES BASICAS DE SAÚDE DO MUNICIPIO POR UM PERÍODO DE 12 MESES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conforme especificações e quantidades constantes no termo de referência e Proposta de Preços do Edital de Licitação,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partes integrantes e inseparáveis desta Ata, assim como a proposta vencedora, independentemente de transcrição.</w:t>
      </w:r>
      <w:r>
        <w:rPr>
          <w:rFonts w:asciiTheme="minorHAnsi" w:eastAsia="Calibri" w:hAnsiTheme="minorHAnsi" w:cstheme="minorHAnsi"/>
          <w:sz w:val="22"/>
          <w:szCs w:val="22"/>
        </w:rPr>
        <w:t xml:space="preserve"> De acordo com o resultado decorrente da licitação na modalidade </w:t>
      </w:r>
      <w:r>
        <w:rPr>
          <w:rFonts w:asciiTheme="minorHAnsi" w:eastAsia="Calibri" w:hAnsiTheme="minorHAnsi" w:cstheme="minorHAnsi"/>
          <w:b/>
          <w:sz w:val="22"/>
          <w:szCs w:val="22"/>
        </w:rPr>
        <w:t>Pregão Eletrônico n.º 003/2023</w:t>
      </w:r>
      <w:r>
        <w:rPr>
          <w:rFonts w:asciiTheme="minorHAnsi" w:eastAsia="Calibri" w:hAnsiTheme="minorHAnsi" w:cstheme="minorHAnsi"/>
          <w:sz w:val="22"/>
          <w:szCs w:val="22"/>
        </w:rPr>
        <w:t xml:space="preserve">, autorizado pelo </w:t>
      </w:r>
      <w:r>
        <w:rPr>
          <w:rFonts w:asciiTheme="minorHAnsi" w:eastAsia="Calibri" w:hAnsiTheme="minorHAnsi" w:cstheme="minorHAnsi"/>
          <w:b/>
          <w:sz w:val="22"/>
          <w:szCs w:val="22"/>
        </w:rPr>
        <w:t>Processo n.º 038/2023</w:t>
      </w:r>
      <w:r>
        <w:rPr>
          <w:rFonts w:asciiTheme="minorHAnsi" w:eastAsia="Calibri" w:hAnsiTheme="minorHAnsi" w:cstheme="minorHAnsi"/>
          <w:sz w:val="22"/>
          <w:szCs w:val="22"/>
        </w:rPr>
        <w:t xml:space="preserve">, regida pela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Lei Federal n.º 10.520, de 17 de julho de 2002 e o Decreto Municipal n.º 076/ 2017, de 01 de junho de2017</w:t>
      </w:r>
      <w:r>
        <w:rPr>
          <w:rFonts w:asciiTheme="minorHAnsi" w:eastAsia="Calibri" w:hAnsiTheme="minorHAnsi" w:cstheme="minorHAnsi"/>
          <w:sz w:val="22"/>
          <w:szCs w:val="22"/>
        </w:rPr>
        <w:t>, subsidiariamente pela Lei Federal n.º 8.666/93 e, pelas condições do edital, termos da proposta, mediante as cláusulas e condições a seguir estabelecidas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:rsidR="00AA2AD5" w:rsidRDefault="00AA2AD5" w:rsidP="00AA2AD5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Empresa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MORETI DISTRIBUIDORA </w:t>
      </w:r>
      <w:proofErr w:type="gramStart"/>
      <w:r>
        <w:rPr>
          <w:rFonts w:asciiTheme="minorHAnsi" w:eastAsia="Calibri" w:hAnsiTheme="minorHAnsi" w:cstheme="minorHAnsi"/>
          <w:b/>
          <w:sz w:val="22"/>
          <w:szCs w:val="22"/>
        </w:rPr>
        <w:t xml:space="preserve">EIRELI 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inscrita no CNPJ sob o n.º </w:t>
      </w:r>
      <w:r>
        <w:rPr>
          <w:rFonts w:asciiTheme="minorHAnsi" w:eastAsia="Calibri" w:hAnsiTheme="minorHAnsi" w:cstheme="minorHAnsi"/>
          <w:b/>
          <w:sz w:val="22"/>
          <w:szCs w:val="22"/>
        </w:rPr>
        <w:t>43.352.606/0001-07</w:t>
      </w:r>
      <w:r>
        <w:rPr>
          <w:rFonts w:asciiTheme="minorHAnsi" w:eastAsia="Calibri" w:hAnsiTheme="minorHAnsi" w:cstheme="minorHAnsi"/>
          <w:sz w:val="22"/>
          <w:szCs w:val="22"/>
        </w:rPr>
        <w:t xml:space="preserve">, com sede à Rua Prudente de Moraes n°418, Centro Loanda-PR   , neste ato representada por seu procurador o(a) Senhor(a) Daniel da Silva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Paganotti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 , portador da Cédula de Identidade RG n.º </w:t>
      </w:r>
      <w:r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1561842 SEJUSP/MS  </w:t>
      </w:r>
      <w:r>
        <w:rPr>
          <w:rFonts w:asciiTheme="minorHAnsi" w:eastAsia="Calibri" w:hAnsiTheme="minorHAnsi" w:cstheme="minorHAnsi"/>
          <w:sz w:val="22"/>
          <w:szCs w:val="22"/>
        </w:rPr>
        <w:t xml:space="preserve"> e CPF n.º 034.055.824-05, residente e domiciliado à Cidade de Campo Grande –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ms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CLÁUSULA PRIMEIRA </w:t>
      </w: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–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OBJETO</w:t>
      </w:r>
    </w:p>
    <w:p w:rsidR="00AA2AD5" w:rsidRDefault="00AA2AD5" w:rsidP="00AA2AD5">
      <w:pPr>
        <w:pStyle w:val="PargrafodaLista"/>
        <w:numPr>
          <w:ilvl w:val="1"/>
          <w:numId w:val="2"/>
        </w:numPr>
        <w:tabs>
          <w:tab w:val="left" w:pos="1276"/>
        </w:tabs>
        <w:ind w:left="0" w:firstLine="0"/>
        <w:contextualSpacing/>
        <w:jc w:val="both"/>
        <w:rPr>
          <w:rFonts w:ascii="Arial Narrow" w:hAnsi="Arial Narrow" w:cstheme="minorHAnsi"/>
          <w:b/>
          <w:i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 objeto da presente </w:t>
      </w:r>
      <w:r>
        <w:rPr>
          <w:rFonts w:asciiTheme="minorHAnsi" w:eastAsia="Calibri" w:hAnsiTheme="minorHAnsi" w:cstheme="minorHAnsi"/>
          <w:bCs/>
          <w:sz w:val="22"/>
          <w:szCs w:val="22"/>
        </w:rPr>
        <w:t>Ata de REGISTRO DE PREÇOS PARA EVENTUAL E FUTURA AQUISIÇÃO DE MATERIAL DE CONSUMO ODONTOLÓGICO PARA USO NOS CONSULTORIOS ODONTOLOGICOS DAS UNIDADES BASICAS DE SAÚDE DO MUNICIPIO POR UM PERÍODO DE 12 MESES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conforme especificações e quantidades constantes no termo de referência e Proposta de Preços do Edital de Licitação,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partes integrantes e inseparáveis desta Ata, assim como a proposta vencedora, independentemente de transcrição</w:t>
      </w:r>
      <w:r>
        <w:rPr>
          <w:rFonts w:asciiTheme="minorHAnsi" w:eastAsia="Calibri" w:hAnsiTheme="minorHAnsi" w:cstheme="minorHAnsi"/>
          <w:sz w:val="22"/>
          <w:szCs w:val="22"/>
        </w:rPr>
        <w:t>, pelo prazo de validade do registro.</w:t>
      </w:r>
    </w:p>
    <w:p w:rsidR="00AA2AD5" w:rsidRDefault="00AA2AD5" w:rsidP="00AA2AD5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 existência de preços registrados não obriga o Município de Coronel Sapucaia-MS, a firmar contratações com os respectivos fornecedores ou a contratar a totalidade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registrados, sendo-lhe facultada a utilização de outros meios permitidos pela legislação relativa às licitações, sem cabimento de recurso, sendo assegurado ao beneficiário do registro de preços preferência em igualdades de condições.</w:t>
      </w:r>
    </w:p>
    <w:p w:rsidR="00AA2AD5" w:rsidRDefault="00AA2AD5" w:rsidP="00AA2AD5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CLÁUSULA SEGUNDA </w:t>
      </w: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–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DO PREÇO E REVISÃO</w:t>
      </w:r>
    </w:p>
    <w:p w:rsidR="00AA2AD5" w:rsidRDefault="00AA2AD5" w:rsidP="00AA2A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 preço unitário para execução do objeto de registro será o de menor preço inscrito na Ata do </w:t>
      </w:r>
      <w:r>
        <w:rPr>
          <w:rFonts w:asciiTheme="minorHAnsi" w:eastAsia="Calibri" w:hAnsiTheme="minorHAnsi" w:cstheme="minorHAnsi"/>
          <w:b/>
          <w:sz w:val="22"/>
          <w:szCs w:val="22"/>
        </w:rPr>
        <w:t>Pregão Eletrônico n.º 003/2023</w:t>
      </w:r>
      <w:r>
        <w:rPr>
          <w:rFonts w:asciiTheme="minorHAnsi" w:eastAsia="Calibri" w:hAnsiTheme="minorHAnsi" w:cstheme="minorHAnsi"/>
          <w:sz w:val="22"/>
          <w:szCs w:val="22"/>
        </w:rPr>
        <w:t xml:space="preserve">, </w:t>
      </w:r>
      <w:r>
        <w:rPr>
          <w:rFonts w:asciiTheme="minorHAnsi" w:eastAsia="Calibri" w:hAnsiTheme="minorHAnsi" w:cstheme="minorHAnsi"/>
          <w:b/>
          <w:sz w:val="22"/>
          <w:szCs w:val="22"/>
        </w:rPr>
        <w:t>Processo n.º 038/2023</w:t>
      </w:r>
      <w:r>
        <w:rPr>
          <w:rFonts w:asciiTheme="minorHAnsi" w:eastAsia="Calibri" w:hAnsiTheme="minorHAnsi" w:cstheme="minorHAnsi"/>
          <w:sz w:val="22"/>
          <w:szCs w:val="22"/>
        </w:rPr>
        <w:t xml:space="preserve">, de acordo com a ordem de classificação das respectivas propostas de que integram este instrumento independente de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transcrição, pelo prazo de validade do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registro, conforme segue:</w:t>
      </w:r>
    </w:p>
    <w:tbl>
      <w:tblPr>
        <w:tblW w:w="99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74"/>
        <w:gridCol w:w="469"/>
        <w:gridCol w:w="639"/>
        <w:gridCol w:w="3083"/>
        <w:gridCol w:w="475"/>
        <w:gridCol w:w="1106"/>
        <w:gridCol w:w="1290"/>
        <w:gridCol w:w="870"/>
        <w:gridCol w:w="943"/>
      </w:tblGrid>
      <w:tr w:rsidR="00AA2AD5" w:rsidTr="00AA2AD5">
        <w:trPr>
          <w:trHeight w:val="210"/>
        </w:trPr>
        <w:tc>
          <w:tcPr>
            <w:tcW w:w="552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9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39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83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5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43" w:type="dxa"/>
            <w:vAlign w:val="center"/>
            <w:hideMark/>
          </w:tcPr>
          <w:p w:rsidR="00AA2AD5" w:rsidRDefault="00AA2AD5">
            <w:pPr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A2AD5" w:rsidTr="00AA2AD5">
        <w:trPr>
          <w:trHeight w:val="300"/>
        </w:trPr>
        <w:tc>
          <w:tcPr>
            <w:tcW w:w="9901" w:type="dxa"/>
            <w:gridSpan w:val="10"/>
            <w:vAlign w:val="center"/>
          </w:tcPr>
          <w:tbl>
            <w:tblPr>
              <w:tblW w:w="9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99"/>
              <w:gridCol w:w="399"/>
              <w:gridCol w:w="523"/>
              <w:gridCol w:w="3625"/>
              <w:gridCol w:w="400"/>
              <w:gridCol w:w="1054"/>
              <w:gridCol w:w="1188"/>
              <w:gridCol w:w="860"/>
              <w:gridCol w:w="860"/>
            </w:tblGrid>
            <w:tr w:rsidR="00AA2AD5" w:rsidTr="003075E7">
              <w:trPr>
                <w:trHeight w:val="210"/>
              </w:trPr>
              <w:tc>
                <w:tcPr>
                  <w:tcW w:w="452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25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0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4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8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A2AD5" w:rsidRDefault="00AA2A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9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99"/>
              <w:gridCol w:w="399"/>
              <w:gridCol w:w="523"/>
              <w:gridCol w:w="3622"/>
              <w:gridCol w:w="399"/>
              <w:gridCol w:w="1048"/>
              <w:gridCol w:w="1198"/>
              <w:gridCol w:w="860"/>
              <w:gridCol w:w="860"/>
            </w:tblGrid>
            <w:tr w:rsidR="00AA2AD5" w:rsidTr="003075E7">
              <w:trPr>
                <w:trHeight w:val="210"/>
              </w:trPr>
              <w:tc>
                <w:tcPr>
                  <w:tcW w:w="452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22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8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20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A2AD5">
              <w:trPr>
                <w:trHeight w:val="300"/>
              </w:trPr>
              <w:tc>
                <w:tcPr>
                  <w:tcW w:w="9760" w:type="dxa"/>
                  <w:gridSpan w:val="10"/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MORERTI DISTRIB DE PROD MEDICOS E ODONTOLOGICOS EIRELI</w:t>
                  </w:r>
                </w:p>
              </w:tc>
            </w:tr>
            <w:tr w:rsidR="00AA2AD5" w:rsidTr="003075E7">
              <w:trPr>
                <w:trHeight w:val="165"/>
              </w:trPr>
              <w:tc>
                <w:tcPr>
                  <w:tcW w:w="45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2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A2AD5" w:rsidTr="003075E7">
              <w:trPr>
                <w:trHeight w:val="330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ANEXO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LOTE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CÓD.</w:t>
                  </w:r>
                </w:p>
              </w:tc>
              <w:tc>
                <w:tcPr>
                  <w:tcW w:w="3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ESPECIFICAÇÃO DO ITEM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UNID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QUANTIDADE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  <w:lang w:eastAsia="en-US"/>
                    </w:rPr>
                    <w:t>VALOR TOTAL</w:t>
                  </w:r>
                </w:p>
              </w:tc>
            </w:tr>
            <w:tr w:rsidR="00AA2AD5" w:rsidTr="003075E7">
              <w:trPr>
                <w:trHeight w:val="36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</w:t>
                  </w:r>
                  <w:proofErr w:type="gramEnd"/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03297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ADESIVO MONOCOMPONENTE FOTOPOLIMERIZÁVEL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15,00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MASTERBOND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14,00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210,00</w:t>
                  </w:r>
                </w:p>
              </w:tc>
            </w:tr>
            <w:tr w:rsidR="00AA2AD5" w:rsidTr="003075E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35254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DESCOLADOR MOLT 2-4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10,00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CASSIFLEX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85,00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850,00</w:t>
                  </w:r>
                </w:p>
              </w:tc>
            </w:tr>
            <w:tr w:rsidR="00AA2AD5" w:rsidTr="003075E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12988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EXTIRPA NERVO SORTIDO 20/40.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10,00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MKLIFE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39,00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390,00</w:t>
                  </w:r>
                </w:p>
              </w:tc>
            </w:tr>
            <w:tr w:rsidR="00AA2AD5" w:rsidTr="003075E7">
              <w:trPr>
                <w:trHeight w:val="216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28788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KIT ASPIRAÇÃO ENDODÔNTICO, * TRÊS TAMANHOS DE AGULHAS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* TAMANHO DA CÂNULA PERMITE PERFEITA EMPUNHADURA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* PRODUTO AUTOCLAVÁVEL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* AUTOCLAVÁVEL.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* MEDIDAS DO PRODUTO: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 xml:space="preserve">- AGULHA 4010: 32,4 MM X Ø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 MM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- AGULHA 4015: 32 MM X Ø 1,5 MM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- AGULHA 5020: 40,9 MM X Ø 2 MM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br/>
                    <w:t>- CÂNULA: 100 MM X Ø 3,30 MM (INTERNO) X Ø 6,35 MM (EXTERNO)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8,00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CPOH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49,00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392,00</w:t>
                  </w:r>
                </w:p>
              </w:tc>
            </w:tr>
            <w:tr w:rsidR="00AA2AD5" w:rsidTr="003075E7">
              <w:trPr>
                <w:trHeight w:val="18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42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25401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LIMA ENDODONTICA NUMERO 10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25MM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5,00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ANGELUS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24,00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120,00</w:t>
                  </w:r>
                </w:p>
              </w:tc>
            </w:tr>
            <w:tr w:rsidR="00AA2AD5" w:rsidTr="003075E7">
              <w:trPr>
                <w:trHeight w:val="36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43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25402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LIMA ENDODONTICA TIPO KERR JOGO 15 A 40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25MM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5,00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ANGELUS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24,00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120,00</w:t>
                  </w:r>
                </w:p>
              </w:tc>
            </w:tr>
            <w:tr w:rsidR="00AA2AD5" w:rsidTr="003075E7">
              <w:trPr>
                <w:trHeight w:val="36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51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25405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PELICULA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RAIO X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 PERIAPICAL ADULTO CAIXA COM 100UN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CARESTREAN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182,00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546,00</w:t>
                  </w:r>
                </w:p>
              </w:tc>
            </w:tr>
            <w:tr w:rsidR="00AA2AD5" w:rsidTr="003075E7">
              <w:trPr>
                <w:trHeight w:val="360"/>
              </w:trPr>
              <w:tc>
                <w:tcPr>
                  <w:tcW w:w="4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I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52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25406</w:t>
                  </w:r>
                </w:p>
              </w:tc>
              <w:tc>
                <w:tcPr>
                  <w:tcW w:w="36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PELICULA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RAIO X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 xml:space="preserve"> PERIAPICAL INFANTIL CAIXA COM 100UN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UN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3,00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CARESTREAN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262,00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786,00</w:t>
                  </w:r>
                </w:p>
              </w:tc>
            </w:tr>
            <w:tr w:rsidR="00AA2AD5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  <w:lang w:eastAsia="en-US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AA2AD5" w:rsidRDefault="00AA2A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en-US"/>
                    </w:rPr>
                    <w:t>3.414,00</w:t>
                  </w:r>
                </w:p>
              </w:tc>
            </w:tr>
            <w:tr w:rsidR="00AA2AD5" w:rsidTr="003075E7">
              <w:trPr>
                <w:trHeight w:val="210"/>
              </w:trPr>
              <w:tc>
                <w:tcPr>
                  <w:tcW w:w="45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2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A2AD5" w:rsidTr="003075E7">
              <w:trPr>
                <w:trHeight w:val="210"/>
              </w:trPr>
              <w:tc>
                <w:tcPr>
                  <w:tcW w:w="45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3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22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8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AA2AD5" w:rsidRDefault="00AA2AD5">
                  <w:pPr>
                    <w:spacing w:after="0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A2AD5" w:rsidRDefault="00AA2AD5" w:rsidP="003075E7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AA2AD5" w:rsidRDefault="00AA2AD5" w:rsidP="00AA2AD5">
      <w:pPr>
        <w:widowControl w:val="0"/>
        <w:numPr>
          <w:ilvl w:val="2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Os preços serão fixos e irreajustáveis durante a vigência do Registro de Preços.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 revisão dos preços poderá ocorrer quando da incidência das situações previstas no art. 65, inciso II, da Lei Federal n.º 8.666/93 (situações supervenientes e imprevistas, força maior, caso fortuito ou fato do príncipe, que configurem álea econômica extraordinária e extracontratual) devidamente comprovadas e se dará seguinte forma: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Na ocorrência do preço registrado tornar-se superior ao preço praticado no mercado, o Departamento de Licitação notificará a fornecedora com o primeiro menor preço registrado para o item visando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a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negociação para a redução de preços e sua adequação ao do mercado, mantendo o mesmo objeto cotado, qualidade e especificações.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Dando-se por infrutífera a negociação de redução dos preços, o Departamento de Licitação formalmente desonerará a fornecedora em relação ao item e cancelará o seu registro, sem prejuízos das penalidades cabíveis.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Simultaneamente procederá a convocação das demais fornecedoras, respeitada a ordem de classificação visando estabelecer igual oportunidade de negociação.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No transcurso da negociação prevista no subitem 2.2., ficará o fornecedor condicionado a atender as solicitações de fornecimento dos órgãos usuários nos preços inicialmente registrados, ficando garantida a compensação do valor negociado para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já entregues, caso do reconhecimento pelo Município de Coronel Sapucaia-MS do rompimento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do equilíbrio econômico-financeiro originalmente estipulado.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do Município de Coronel Sapucaia-MS poderá ser cancelado o registro de preços e instaurada nova licitação para a aquisição ou contratação do objeto de registro, sem que caiba direito de recurso ou indenização.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8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Caso ao Município de Coronel Sapucaia-MS entenda pela revisão dos preços, o novo preço será consignado, através de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apostilamento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na Ata de Registro de Preços, ao qual estarão os fornecedores vinculados.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suppressAutoHyphens/>
        <w:ind w:right="-1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TERCEIRA – DO PRAZO DE VALIDADE DO REGISTRO DE PREÇOS</w:t>
      </w:r>
    </w:p>
    <w:p w:rsidR="00AA2AD5" w:rsidRDefault="00AA2AD5" w:rsidP="00AA2AD5">
      <w:pPr>
        <w:widowControl w:val="0"/>
        <w:numPr>
          <w:ilvl w:val="1"/>
          <w:numId w:val="10"/>
        </w:numPr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 vigência do presente instrumento será de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12 </w:t>
      </w:r>
      <w:r>
        <w:rPr>
          <w:rFonts w:asciiTheme="minorHAnsi" w:eastAsia="Calibri" w:hAnsiTheme="minorHAnsi" w:cstheme="minorHAnsi"/>
          <w:b/>
          <w:sz w:val="22"/>
          <w:szCs w:val="22"/>
        </w:rPr>
        <w:t>(doze) meses</w:t>
      </w:r>
      <w:r>
        <w:rPr>
          <w:rFonts w:asciiTheme="minorHAnsi" w:eastAsia="Calibri" w:hAnsiTheme="minorHAnsi" w:cstheme="minorHAnsi"/>
          <w:sz w:val="22"/>
          <w:szCs w:val="22"/>
        </w:rPr>
        <w:t>, conforme o art. 11, do Decreto Municipal n.º 076/17, contados da data de publicação de seu extrato na Imprensa Oficial.</w:t>
      </w:r>
    </w:p>
    <w:p w:rsidR="00AA2AD5" w:rsidRDefault="00AA2AD5" w:rsidP="00AA2AD5">
      <w:pPr>
        <w:widowControl w:val="0"/>
        <w:ind w:right="-1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AA2AD5" w:rsidRDefault="00AA2AD5" w:rsidP="00AA2AD5">
      <w:pPr>
        <w:widowControl w:val="0"/>
        <w:ind w:right="-1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QUARTA – DOS USUÁRIOS DO REGISTRO DE PREÇOS</w:t>
      </w: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Serão usuários do Registro de Preços os órgãos da Administração Direta e Indireta, do Município de Coronel Sapucaia-MS.</w:t>
      </w: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Caberá aos órgãos ou entidades usuários a responsabilidade, após contratação, pelo controle do cumprimento de todas as obrigações relativas ao fornecimento, inclusive aplicação das sanções previstas no Termo de Referência, no edital, nesta Ata de Registro de Preços e no Contrato a ser firmado.</w:t>
      </w:r>
    </w:p>
    <w:p w:rsidR="00AA2AD5" w:rsidRDefault="00AA2AD5" w:rsidP="00AA2AD5">
      <w:pPr>
        <w:widowControl w:val="0"/>
        <w:ind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Caberá ainda aos órgãos ou entidades usuários informarem ao gerenciador da Ata de Registro de Preços, do não comparecimento da fornecedora para a retirada de nota de empenho e assinatura do Contrato, conforme o caso, visando à convocação dos remanescentes e aplicação das penalidades cabíveis ao fornecedor faltoso.</w:t>
      </w:r>
    </w:p>
    <w:p w:rsidR="00AA2AD5" w:rsidRDefault="00AA2AD5" w:rsidP="00AA2AD5">
      <w:pPr>
        <w:widowControl w:val="0"/>
        <w:ind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Poderá utilizar-se da Ata de Registro de Preços qualquer órgão ou entidade da Administração Pública que não tenha participado do certame, mediante prévia consulta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à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Secretarias Municipais do município, através do Departamento Central de Compras, desde que haja saldo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>, inclusive em função do acréscimo de que trata o § 1° do Art. 65 da Lei Federal n.º 8.666/93, de saldos remanescentes dos órgãos ou entidades usuários do registro.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Aos órgãos ou entidades usuárias da Ata de Registro de Preços, fica vedada a aquisição de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com preços superiores aos registrados, devendo notificar as Secretarias Municipais de Coronel Sapucaia, os casos de licitações com preços inferiores a estes.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 Município de Coronel Sapucaia-MS não se obriga a firmar contratações oriundas do Sistema Registro de Preços ou nas quantidades estimadas, ficando-lhe facultada a utilização de outros meios para aquisição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>, respeitada a legislação relativa às licitações, sendo assegurado ao beneficiário do registro de Preços preferência em igualdade de condições.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As aquisições ou contratações adicionais a que se refere este artigo não poderão exceder, por órgão ou entidade, a 100% (cem por cento) dos quantitativos registrados na Ata de Registro de Preços.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quantitativo decorrente das adesões à ata de registro de preços não poderá exceder, na totalidade, ao quíntuplo do quantitativo de cada item registrado na Ata de Registro de Preços para o Órgão Gerenciador e órgãos participantes, independentemente do número de órgãos não participantes que aderirem.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2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Município de Coronel Sapucaia-MS, através do órgão gerenciador não responde pelos atos do órgão carona.</w:t>
      </w:r>
    </w:p>
    <w:p w:rsidR="00AA2AD5" w:rsidRDefault="00AA2AD5" w:rsidP="00AA2AD5">
      <w:pPr>
        <w:widowControl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ind w:hanging="11"/>
        <w:mirrorIndents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QUINTA – DOS DIREITOS E OBRIGAÇÕES DAS PARTES</w:t>
      </w:r>
    </w:p>
    <w:p w:rsidR="00AA2AD5" w:rsidRDefault="00AA2AD5" w:rsidP="00AA2AD5">
      <w:pPr>
        <w:widowControl w:val="0"/>
        <w:numPr>
          <w:ilvl w:val="1"/>
          <w:numId w:val="14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Compete ao Órgão Gestor: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Optar pela contratação ou não da aquisição dos x decorrentes do Sistema Registro de Preços ou das quantidades estimadas, ficando-lhe facultada a utilização de outros meios para aquisição de item, respeitada a legislação relativa às licitações, sendo assegurado ao beneficiário do Registro de Preços preferência em igualdade de condições, sem que caiba recurso ou indenização.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Indicar para os Órgãos e Entidades Usuários do Registro de Preços os fornecedores e seus respectivos saldos, visando subsidiar os pedidos de compras, respeitada a ordem de registro e os quantitativos a serem fornecidos.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Decidir sobre a revisão ou cancelamento dos preços registrados no prazo máximo de 10 (dez) dias úteis, salvo motivo de força maior devidamente justificado no processo.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Gerenciar o registro de preço e acompanhar, periodicamente, os preços praticados no mercado para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registrados e nas mesmas condições de fornecimento, para fins de controle e fixação do valor máximo a ser pago pelo Município de Coronel Sapucaia-MS.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Emitir a autorização de compra.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Dar preferência de contratação ao detentor do Registro de Preços ou conceder igualdade de condições, no caso de contratações por outros meios permitidos pela legislação.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Aplicar penalidades e sanções cabíveis.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Cancelar o Registro de Preços quando presentes as situações previstas na Cláusula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Sexta deste documento.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4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Compete aos Órgãos ou Entidades Usuários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:rsidR="00AA2AD5" w:rsidRDefault="00AA2AD5" w:rsidP="00AA2AD5">
      <w:pPr>
        <w:widowControl w:val="0"/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Firmar ou não a contratação do objeto de registro de preço ou contratar nas quantidades estimadas.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Proporcionar ao Compromitente Fornecedor todas as condições para o cumprimento de suas obrigações e entrega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dentro das normas estabelecidas no edital.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Proceder à fiscalização da contratação, mediante controle do cumprimento de todas as obrigações relativas ao fornecimento, inclusive à aplicação das sanções previstas neste edital.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Informar ao Gerenciador da Ata, da inexecução total do compromisso, caracterizada pelo não comparecimento do Compromitente Fornecedor para a retirada da Nota de Empenho e assinatura do Contrato, conforme o caso, visando à convocação dos remanescentes.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Aplicar as penalidades de sua competência ao fornecedor faltoso.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Notificar as Secretarias Municipais do município, os casos de licitações com preços inferiores aos registrados em Ata.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Rejeitar, no todo ou em parte,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entregues em desacordo com as obrigações assumidas pelo Compromitente Fornecedor.</w:t>
      </w:r>
    </w:p>
    <w:p w:rsidR="00AA2AD5" w:rsidRDefault="00AA2AD5" w:rsidP="00AA2AD5">
      <w:pPr>
        <w:widowControl w:val="0"/>
        <w:suppressAutoHyphens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right="-1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Efetuar os pagamentos dentro das condições estabelecidas no edital.</w:t>
      </w:r>
    </w:p>
    <w:p w:rsidR="00AA2AD5" w:rsidRDefault="00AA2AD5" w:rsidP="00AA2AD5">
      <w:pPr>
        <w:widowControl w:val="0"/>
        <w:numPr>
          <w:ilvl w:val="1"/>
          <w:numId w:val="14"/>
        </w:numPr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Compete ao Compromitente </w:t>
      </w:r>
      <w:proofErr w:type="gramStart"/>
      <w:r>
        <w:rPr>
          <w:rFonts w:asciiTheme="minorHAnsi" w:eastAsia="Calibri" w:hAnsiTheme="minorHAnsi" w:cstheme="minorHAnsi"/>
          <w:b/>
          <w:sz w:val="22"/>
          <w:szCs w:val="22"/>
        </w:rPr>
        <w:t>Fornecedor(</w:t>
      </w:r>
      <w:proofErr w:type="gramEnd"/>
      <w:r>
        <w:rPr>
          <w:rFonts w:asciiTheme="minorHAnsi" w:eastAsia="Calibri" w:hAnsiTheme="minorHAnsi" w:cstheme="minorHAnsi"/>
          <w:b/>
          <w:sz w:val="22"/>
          <w:szCs w:val="22"/>
        </w:rPr>
        <w:t>a)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:rsidR="00AA2AD5" w:rsidRDefault="00AA2AD5" w:rsidP="00AA2AD5">
      <w:pPr>
        <w:widowControl w:val="0"/>
        <w:spacing w:after="0" w:line="24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Entregar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nas condições estabelecidas no Termo de Referência e atender todos os pedidos de contratação durante o período de duração do Registro de Preços, independentemente da quantidade do pedido ou de valor mínimo, de acordo com a sua capacidade de fornecimento fixada na proposta de preço de sua titularidade, observando as quantidades, prazos e locais estabelecidos pelo Órgão Usuário da Ata de Registro de Preços.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Manter, durante a vigência do Registro de Preços, compatibilidade de todas as obrigações assumidas e as condições de habilitação e qualificação exigidas na licitação.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Substituir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recusados pelo órgão ou entidade usuária, sem qualquer ônus para o Município de Coronel Sapucaia-MS, no prazo de 24 (vinte e quatro) horas após o recebimento da Notificação, independentemente da aplicação das penalidades cabíveis.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Ter revisado ou cancelado o registro de seus preços, quando não cumprido os pressupostos estabelecidos na presente Ata e demais documentos pertinentes a este Registro de Preços.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Atender a demanda dos órgãos ou entidade usuários, durante a fase da negociação de revisão de preços de que trata a Cláusula Segunda desta Ata, com os preços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inicialmente registrados, garantida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a compensação dos valores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já entregues, caso do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reconhecimento pelo Município de Coronel Sapucaia-MS do rompimento do equilíbrio originalmente estipulado.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Vincular-se ao preço máximo (novo preço) definido pelo Município de Coronel Sapucaia-MS, resultante do ato de revisão.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Ter direito de preferência ou, igualdade de condições caso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o Município de Coronel Sapucaia-MS optar pela contratação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objeto de registro por outros meios facultados na legislação relativa às licitações.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Responsabilizar-se pelos danos causados diretamente à Administração ou a terceiros, decorrentes de sua culpa ou dolo até a entrega do objeto de Registro de Preços.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14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Receber os pagamentos respectivos nas condições pactuadas.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ind w:hanging="11"/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SEXTA – DO CANCELAMENTO DOS PREÇOS REGISTRADOS</w:t>
      </w:r>
    </w:p>
    <w:p w:rsidR="00AA2AD5" w:rsidRDefault="00AA2AD5" w:rsidP="00AA2AD5">
      <w:pPr>
        <w:widowControl w:val="0"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6.1.</w:t>
      </w:r>
      <w:r>
        <w:rPr>
          <w:rFonts w:asciiTheme="minorHAnsi" w:eastAsia="Calibri" w:hAnsiTheme="minorHAnsi" w:cstheme="minorHAnsi"/>
          <w:sz w:val="22"/>
          <w:szCs w:val="22"/>
        </w:rPr>
        <w:tab/>
        <w:t>Os preços registrados poderão ser cancelados automaticamente, por decurso do prazo de vigência, quando não restarem fornecedores ou ainda pelo Município de Coronel Sapucaia-MS quando o Compromitente Fornecedor: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Não formalizar o contrato decorrente do Registro de Preços e/ou não retirar o instrumento equivalente no prazo estipulado ou descumprir exigências da Ata a que estiver vinculado, sem justificativa aceitável;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Ocorrer qualquer das hipóteses de inexecução total ou parcial do instrumento de ajuste;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Os preços registrados apresentarem-se superiores ao do mercado e não houver êxito na negociação;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Der causa a rescisão administrativa do ajuste decorrente do Registro de Preços por motivos elencados no art. 77 e seguintes da Lei Federal n.º 8.666/93;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Por razão de interesse público, devidamente motivado;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Estiver impedida para licitar ou contratar temporariamente com o Município de Coronel Sapucaia-MS ou for declarada inidôneo para licitar ou contratar com a Administração Pública, nos termos da Lei Federal n.º 10.520/02;</w:t>
      </w:r>
    </w:p>
    <w:p w:rsidR="00AA2AD5" w:rsidRDefault="00AA2AD5" w:rsidP="00AA2AD5">
      <w:pPr>
        <w:widowControl w:val="0"/>
        <w:numPr>
          <w:ilvl w:val="1"/>
          <w:numId w:val="16"/>
        </w:numPr>
        <w:suppressAutoHyphens/>
        <w:spacing w:after="0" w:line="240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Por requerimento do detentor da Ata, mediante deferimento do Município de Coronel Sapucaia-MS frente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a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comprovação da impossibilidade do cumprimento das obrigações assumidas, sem prejuízo das penalidades previstas no instrumento convocatório, neste Termo, bem como perdas e danos.</w:t>
      </w:r>
    </w:p>
    <w:p w:rsidR="00AA2AD5" w:rsidRDefault="00AA2AD5" w:rsidP="00AA2AD5">
      <w:pPr>
        <w:widowControl w:val="0"/>
        <w:suppressAutoHyphens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18"/>
        </w:numPr>
        <w:spacing w:after="0" w:line="240" w:lineRule="auto"/>
        <w:ind w:left="0" w:right="-1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Será assegurado o contraditório e a ampla defesa do interessado, no respectivo processo, no prazo de 05 (cinco) dias úteis, contados da notificação ou publicação.</w:t>
      </w:r>
    </w:p>
    <w:p w:rsidR="00AA2AD5" w:rsidRDefault="00AA2AD5" w:rsidP="00AA2AD5">
      <w:pPr>
        <w:widowControl w:val="0"/>
        <w:ind w:left="709"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SÉTIMA – DO FORNECIMENTO</w:t>
      </w:r>
    </w:p>
    <w:p w:rsidR="00AA2AD5" w:rsidRDefault="00AA2AD5" w:rsidP="00AA2AD5">
      <w:pPr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0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As obrigações decorrentes do fornecimento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constantes do Registro de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Preços serão firmadas diretamente com os órgãos ou entidades usuárias da Ata de Registro de Preços, observada as condições estabelecidas neste edital e no que dispõe o art. 62 da Lei Federal n.º 8.666/93, e será formalizada através de:</w:t>
      </w:r>
    </w:p>
    <w:p w:rsidR="00AA2AD5" w:rsidRDefault="00AA2AD5" w:rsidP="00AA2AD5">
      <w:pPr>
        <w:widowControl w:val="0"/>
        <w:suppressAutoHyphens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0"/>
          <w:numId w:val="22"/>
        </w:numPr>
        <w:spacing w:after="0" w:line="240" w:lineRule="auto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Nota de empenho ou documento equivalente, quando a entrega não envolver obrigações futuras;</w:t>
      </w:r>
    </w:p>
    <w:p w:rsidR="00AA2AD5" w:rsidRDefault="00AA2AD5" w:rsidP="00AA2AD5">
      <w:pPr>
        <w:widowControl w:val="0"/>
        <w:numPr>
          <w:ilvl w:val="0"/>
          <w:numId w:val="22"/>
        </w:numPr>
        <w:spacing w:after="0" w:line="240" w:lineRule="auto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Nota de empenho ou documento equivalente e contrato de fornecimento, quando presentes obrigações futuras.</w:t>
      </w:r>
    </w:p>
    <w:p w:rsidR="00AA2AD5" w:rsidRDefault="00AA2AD5" w:rsidP="00AA2AD5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0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 prazo para a retirada da Nota de Empenho e/ou assinatura da Ata será de </w:t>
      </w:r>
      <w:r>
        <w:rPr>
          <w:rFonts w:asciiTheme="minorHAnsi" w:eastAsia="Calibri" w:hAnsiTheme="minorHAnsi" w:cstheme="minorHAnsi"/>
          <w:b/>
          <w:sz w:val="22"/>
          <w:szCs w:val="22"/>
        </w:rPr>
        <w:t>05 (cinco) dias úteis</w:t>
      </w:r>
      <w:r>
        <w:rPr>
          <w:rFonts w:asciiTheme="minorHAnsi" w:eastAsia="Calibri" w:hAnsiTheme="minorHAnsi" w:cstheme="minorHAnsi"/>
          <w:sz w:val="22"/>
          <w:szCs w:val="22"/>
        </w:rPr>
        <w:t>, contados da convocação.</w:t>
      </w:r>
    </w:p>
    <w:p w:rsidR="00AA2AD5" w:rsidRDefault="00AA2AD5" w:rsidP="00AA2AD5">
      <w:pPr>
        <w:widowControl w:val="0"/>
        <w:suppressAutoHyphens/>
        <w:ind w:hanging="1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0"/>
        </w:numPr>
        <w:suppressAutoHyphens/>
        <w:spacing w:after="0" w:line="240" w:lineRule="auto"/>
        <w:ind w:left="0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Os quantitativos de fornecimento serão os fixados em Nota de Empenho e/ou Contrato e observarão obrigatoriamente os valores registrados em Ata de Registro de Preços.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numPr>
          <w:ilvl w:val="1"/>
          <w:numId w:val="20"/>
        </w:numPr>
        <w:spacing w:after="0" w:line="240" w:lineRule="auto"/>
        <w:ind w:left="0" w:hanging="1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kern w:val="20"/>
          <w:sz w:val="22"/>
          <w:szCs w:val="22"/>
          <w:u w:val="single"/>
        </w:rPr>
        <w:t>DA ENTREGA</w:t>
      </w:r>
    </w:p>
    <w:p w:rsidR="00AA2AD5" w:rsidRDefault="00AA2AD5" w:rsidP="00AA2AD5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A2AD5" w:rsidRDefault="00AA2AD5" w:rsidP="00AA2AD5">
      <w:pPr>
        <w:numPr>
          <w:ilvl w:val="2"/>
          <w:numId w:val="2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99442071"/>
      <w:r>
        <w:rPr>
          <w:rFonts w:asciiTheme="minorHAnsi" w:hAnsiTheme="minorHAnsi" w:cstheme="minorHAnsi"/>
          <w:sz w:val="22"/>
          <w:szCs w:val="22"/>
        </w:rPr>
        <w:t xml:space="preserve">Os produtos objeto desta licitação serão fornecidas de acordo com as solicitações realizadas pela Secretaria Municipal de saúde ou setor de compras responsável, devendo atender </w:t>
      </w:r>
      <w:proofErr w:type="gramStart"/>
      <w:r>
        <w:rPr>
          <w:rFonts w:asciiTheme="minorHAnsi" w:hAnsiTheme="minorHAnsi" w:cstheme="minorHAnsi"/>
          <w:sz w:val="22"/>
          <w:szCs w:val="22"/>
        </w:rPr>
        <w:t>todas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especificações constante no Termo de Referência</w:t>
      </w:r>
      <w:bookmarkEnd w:id="0"/>
      <w:r>
        <w:rPr>
          <w:rFonts w:asciiTheme="minorHAnsi" w:hAnsiTheme="minorHAnsi" w:cstheme="minorHAnsi"/>
          <w:color w:val="000000"/>
          <w:kern w:val="20"/>
          <w:sz w:val="22"/>
          <w:szCs w:val="22"/>
        </w:rPr>
        <w:t>.</w:t>
      </w:r>
    </w:p>
    <w:p w:rsidR="00AA2AD5" w:rsidRDefault="00AA2AD5" w:rsidP="00AA2AD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A2AD5" w:rsidRDefault="00AA2AD5" w:rsidP="00AA2AD5">
      <w:pPr>
        <w:numPr>
          <w:ilvl w:val="2"/>
          <w:numId w:val="2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>Assumir, com exclusividade, todos os encargos, embalagens,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pactuado.</w:t>
      </w:r>
    </w:p>
    <w:p w:rsidR="00AA2AD5" w:rsidRDefault="00AA2AD5" w:rsidP="00AA2AD5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20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u w:val="single"/>
        </w:rPr>
        <w:t xml:space="preserve">Quando da entrega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>, o Compromitente Fornecedor deverá, obrigatoriamente, encaminhar os seguintes documentos: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suppressAutoHyphens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a) 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03 (três) vias da Autorização de Fornecimento (AF)</w:t>
      </w:r>
      <w:r>
        <w:rPr>
          <w:rFonts w:asciiTheme="minorHAnsi" w:eastAsia="Calibri" w:hAnsiTheme="minorHAnsi" w:cstheme="minorHAnsi"/>
          <w:sz w:val="22"/>
          <w:szCs w:val="22"/>
        </w:rPr>
        <w:t xml:space="preserve"> encaminhada pela Administração, que deverão estar devidamente assinadas pelo Compromitente Fornecedor em local apropriado;</w:t>
      </w:r>
    </w:p>
    <w:p w:rsidR="00AA2AD5" w:rsidRDefault="00AA2AD5" w:rsidP="00AA2AD5">
      <w:pPr>
        <w:widowControl w:val="0"/>
        <w:suppressAutoHyphens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b) 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Nota fiscal e/ou Fatura</w:t>
      </w:r>
      <w:r>
        <w:rPr>
          <w:rFonts w:asciiTheme="minorHAnsi" w:eastAsia="Calibri" w:hAnsiTheme="minorHAnsi" w:cstheme="minorHAnsi"/>
          <w:sz w:val="22"/>
          <w:szCs w:val="22"/>
        </w:rPr>
        <w:t xml:space="preserve"> gerada pelo fornecimento das quantidades de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entregues solicitados na AF. Caso a quantidade entregue seja menor da requerida na Autorização de Fornecimento (AF) o Compromitente Fornecedor deverá informar por escrito, os motivos de não entrega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solicitados, os quais serão analisados pela Secretaria requerente e posteriormente será informado à mesma sobre a decisão;</w:t>
      </w:r>
    </w:p>
    <w:p w:rsidR="00AA2AD5" w:rsidRDefault="00AA2AD5" w:rsidP="00AA2AD5">
      <w:pPr>
        <w:widowControl w:val="0"/>
        <w:suppressAutoHyphens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c) 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Certidões Negativas de Débitos</w:t>
      </w:r>
      <w:r>
        <w:rPr>
          <w:rFonts w:asciiTheme="minorHAnsi" w:eastAsia="Calibri" w:hAnsiTheme="minorHAnsi" w:cstheme="minorHAnsi"/>
          <w:sz w:val="22"/>
          <w:szCs w:val="22"/>
        </w:rPr>
        <w:t>: da União, do Estado, do Município e da Certidão Negativa de Débitos Trabalhistas (CNDT), sendo que, todas deverão estar dentro do prazo de validade de no mínimo 10 (dez) dias antes de seu vencimento.</w:t>
      </w:r>
    </w:p>
    <w:p w:rsidR="00AA2AD5" w:rsidRDefault="00AA2AD5" w:rsidP="00AA2AD5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kern w:val="20"/>
          <w:sz w:val="22"/>
          <w:szCs w:val="22"/>
          <w:u w:val="single"/>
        </w:rPr>
        <w:lastRenderedPageBreak/>
        <w:t>DO RECEBIMENTO</w:t>
      </w:r>
    </w:p>
    <w:p w:rsidR="00AA2AD5" w:rsidRDefault="00AA2AD5" w:rsidP="00AA2AD5">
      <w:pPr>
        <w:numPr>
          <w:ilvl w:val="2"/>
          <w:numId w:val="20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 xml:space="preserve">O recebimento deverá se efetivar, em conformidade com os </w:t>
      </w:r>
      <w:proofErr w:type="spellStart"/>
      <w:r>
        <w:rPr>
          <w:rFonts w:asciiTheme="minorHAnsi" w:hAnsiTheme="minorHAnsi" w:cstheme="minorHAnsi"/>
          <w:kern w:val="20"/>
          <w:sz w:val="22"/>
          <w:szCs w:val="22"/>
        </w:rPr>
        <w:t>arts</w:t>
      </w:r>
      <w:proofErr w:type="spellEnd"/>
      <w:r>
        <w:rPr>
          <w:rFonts w:asciiTheme="minorHAnsi" w:hAnsiTheme="minorHAnsi" w:cstheme="minorHAnsi"/>
          <w:kern w:val="20"/>
          <w:sz w:val="22"/>
          <w:szCs w:val="22"/>
        </w:rPr>
        <w:t>. 73 a 76 da Lei Federal n.º 8.666/93, especificamente nos termos do art. 73, inciso II, alíneas “a” e “b” do referido dispositivo</w:t>
      </w:r>
      <w:r>
        <w:rPr>
          <w:rFonts w:asciiTheme="minorHAnsi" w:hAnsiTheme="minorHAnsi" w:cstheme="minorHAnsi"/>
          <w:color w:val="000000"/>
          <w:kern w:val="20"/>
          <w:sz w:val="22"/>
          <w:szCs w:val="22"/>
        </w:rPr>
        <w:t>.</w:t>
      </w:r>
    </w:p>
    <w:p w:rsidR="00AA2AD5" w:rsidRDefault="00AA2AD5" w:rsidP="00AA2AD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Relativamente ao disposto na presente cláusula,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aplica-se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subsidiariamente as disposições da Lei n.º 8.078/90 – Código de Defesa do Consumidor.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Caso o Compromitente Fornecedor não possa fornecer 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solicitados ou o quantitativo total ou parcial, deverá comunicar o fato à Secretaria Municipal solicitada, por escrito, no prazo máximo de </w:t>
      </w:r>
      <w:r>
        <w:rPr>
          <w:rFonts w:asciiTheme="minorHAnsi" w:eastAsia="Calibri" w:hAnsiTheme="minorHAnsi" w:cstheme="minorHAnsi"/>
          <w:b/>
          <w:sz w:val="22"/>
          <w:szCs w:val="22"/>
        </w:rPr>
        <w:t>24 (vinte e quatro) horas</w:t>
      </w:r>
      <w:r>
        <w:rPr>
          <w:rFonts w:asciiTheme="minorHAnsi" w:eastAsia="Calibri" w:hAnsiTheme="minorHAnsi" w:cstheme="minorHAnsi"/>
          <w:sz w:val="22"/>
          <w:szCs w:val="22"/>
        </w:rPr>
        <w:t>, a contar do recebimento da ordem de fornecimento.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Caso a fornecedora detentora da Ata se recusar ao recebimento da nota de empenho ou instrumento equivalente, no prazo de </w:t>
      </w:r>
      <w:r>
        <w:rPr>
          <w:rFonts w:asciiTheme="minorHAnsi" w:eastAsia="Calibri" w:hAnsiTheme="minorHAnsi" w:cstheme="minorHAnsi"/>
          <w:b/>
          <w:sz w:val="22"/>
          <w:szCs w:val="22"/>
        </w:rPr>
        <w:t>05 (cinco) dias úteis</w:t>
      </w:r>
      <w:r>
        <w:rPr>
          <w:rFonts w:asciiTheme="minorHAnsi" w:eastAsia="Calibri" w:hAnsiTheme="minorHAnsi" w:cstheme="minorHAnsi"/>
          <w:sz w:val="22"/>
          <w:szCs w:val="22"/>
        </w:rPr>
        <w:t>, a contar da notificação por meio hábil (fax ou e-mail), o Município de Coronel Sapucaia-MS convocará a segunda melhor classificada para efetuar o fornecimento, e assim sucessivamente quanto às demais classificadas, facultando aos faltosos as penalidades cabíveis.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 segunda fornecedora classificada só poderá fornecer à Administração, quando estiver esgotada a capacidade de fornecimento da primeira, e assim sucessivamente, de acordo com o consumo anual previsto, ou quando a primeira classificada tiver seu registro junto a Ata cancelado.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CLÁUSULA OITAVA – DO PAGAMENTO</w:t>
      </w: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Os pagamentos devidos às Contratadas serão efetuados parceladamente mediante ordem bancária no prazo de até 30 (trinta) dias, após a entrega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e após a apresentação da respectiva documentação fiscal, devidamente atestada pelo setor competente, conforme dispõe o Art. 40, inciso XIV, alínea “a”, combinado com o Art. 73, inciso II, alínea “b”, da Lei Federal n.º 8.666/93 e alterações.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Os pagamentos somente serão efetuados após a comprovação, pela(s) fornecedora(s), de que se encontra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regular com suas obrigações, mediante a apresentação das Certidões Negativas de Débito da União, do Estado, do Município e a Certidão Negativa de Débito Trabalhista, todas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em plena validade.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Ocorrendo erro no documento da cobrança, este será devolvido e o pagamento será sustado para que a fornecedora tome as medidas necessárias, passando o prazo para o pagamento a ser contado a partir da data da reapresentação do mesmo.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Caso se constate erro ou irregularidade na Nota Fiscal/Fatura, o órgão, a seu critério, poderá devolvê-la, para as devidas correções, ou aceitá-la, com a glosa da parte que </w:t>
      </w:r>
      <w:r>
        <w:rPr>
          <w:rFonts w:asciiTheme="minorHAnsi" w:eastAsia="Batang" w:hAnsiTheme="minorHAnsi" w:cstheme="minorHAnsi"/>
          <w:sz w:val="22"/>
          <w:szCs w:val="22"/>
        </w:rPr>
        <w:lastRenderedPageBreak/>
        <w:t>considerar indevida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Na hipótese de devolução, a Nota Fiscal/Fatura será considerada como não apresentada, para fins de atendimento das condições contratuais e o prazo de pagamento passará a fluir após a sua reapresentação.</w:t>
      </w: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Na pendência de liquidação da obrigação financeira em virtude de penalidade ou inadimplência contratual o valor será descontado da fatura ou créditos existentes em favor da fornecedora.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órgão não pagará, sem que tenha autorização prévia e formalmente nenhum compromisso que lhe venha a ser cobrado diretamente por terceiros, sejam ou não instituições financeiras.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Os eventuais encargos financeiros, processuais e outros, decorrentes da inobservância, pela Fornecedora de prazo de pagamento, serão de sua exclusiva responsabilidade.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Município de Coronel Sapucaia-MS efetuará retenção, na fonte, dos tributos e contribuições sobre todos os pagamentos devidos à fornecedora classificada.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Fica estabelecido o percentual de juros de 6% (seis por cento) ao ano, na hipótese de mora por parte do Município de Coronel Sapucaia.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As Notas Fiscais e/ou Faturas correspondentes, serão discriminativas, constando o número do Contrato a ser firmado, banco, agência, número da conta - corrente e prazo de pagamento, e ainda o número da Nota de Empenho.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Não será efetuado qualquer pagamento ao Compromitente Fornecedor enquanto houver pendência de liquidação da obrigação financeira em virtude de penalidade ou inadimplência contratual, o valor será descontado da fatura ou crédito existente em favor do Compromitente Fornecedor.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Município de Coronel Sapucaia não efetuará nenhum pagamento ao Compromitente Fornecedor sem a devida apresentação da Nota Fiscal Eletrônica – NF-e, além das demais exigências legais.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O Compromitente Fornecedor fica ciente que o Município de Coronel Sapucaia-MS, efetuará a retenção de valores devidos, em razão de cumprimento</w:t>
      </w:r>
      <w:r>
        <w:rPr>
          <w:rFonts w:asciiTheme="minorHAnsi" w:eastAsia="Calibri" w:hAnsiTheme="minorHAnsi" w:cstheme="minorHAnsi"/>
          <w:sz w:val="22"/>
          <w:szCs w:val="22"/>
        </w:rPr>
        <w:t xml:space="preserve"> da referida Ata a ser firmada, caso seja demonstrado que o mesmo possua Débitos Trabalhistas.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26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Como condição para pagamento, o Compromitente Fornecedor deverá se encontrar nas mesmas condições requeridas na fase de habilitação, assim como para o recebimento dos pagamentos relativos ao objeto contratado.</w:t>
      </w:r>
    </w:p>
    <w:p w:rsidR="00AA2AD5" w:rsidRDefault="00AA2AD5" w:rsidP="00AA2AD5">
      <w:pPr>
        <w:spacing w:after="0" w:line="240" w:lineRule="auto"/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CLÁUSULA NONA </w:t>
      </w:r>
      <w:r>
        <w:rPr>
          <w:rFonts w:asciiTheme="minorHAnsi" w:eastAsia="Calibri" w:hAnsiTheme="minorHAnsi" w:cstheme="minorHAnsi"/>
          <w:b/>
          <w:bCs/>
          <w:noProof/>
          <w:color w:val="000000"/>
          <w:sz w:val="22"/>
          <w:szCs w:val="22"/>
        </w:rPr>
        <w:t>–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DAS SUPRESSÕES</w:t>
      </w:r>
    </w:p>
    <w:p w:rsidR="00AA2AD5" w:rsidRDefault="00AA2AD5" w:rsidP="00AA2AD5">
      <w:pPr>
        <w:widowControl w:val="0"/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 supressão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sz w:val="22"/>
          <w:szCs w:val="22"/>
        </w:rPr>
        <w:t xml:space="preserve"> registrados na Ata de Registro de Preços poderá ser total ou </w:t>
      </w:r>
      <w:r>
        <w:rPr>
          <w:rFonts w:asciiTheme="minorHAnsi" w:eastAsia="Calibri" w:hAnsiTheme="minorHAnsi" w:cstheme="minorHAnsi"/>
          <w:sz w:val="22"/>
          <w:szCs w:val="22"/>
        </w:rPr>
        <w:lastRenderedPageBreak/>
        <w:t>parcial, a critério do órgão gerenciador, considerando-se o disposto no § 4º do artigo 15 da Lei Federal n.º 8.666/93 e alterações.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CLÁUSULA DÉCIMA </w:t>
      </w:r>
      <w:r>
        <w:rPr>
          <w:rFonts w:asciiTheme="minorHAnsi" w:eastAsia="Calibri" w:hAnsiTheme="minorHAnsi" w:cstheme="minorHAnsi"/>
          <w:b/>
          <w:bCs/>
          <w:noProof/>
          <w:color w:val="000000"/>
          <w:sz w:val="22"/>
          <w:szCs w:val="22"/>
        </w:rPr>
        <w:t>–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DA DOTAÇÃO ORÇAMENTÁRIA</w:t>
      </w:r>
    </w:p>
    <w:p w:rsidR="00AA2AD5" w:rsidRDefault="00AA2AD5" w:rsidP="00AA2AD5">
      <w:pPr>
        <w:widowControl w:val="0"/>
        <w:numPr>
          <w:ilvl w:val="1"/>
          <w:numId w:val="30"/>
        </w:numPr>
        <w:spacing w:after="0" w:line="240" w:lineRule="auto"/>
        <w:ind w:left="0" w:right="-1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As despesas decorrentes da contratação dos objetos da presente Ata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de Registro de Preços correrão a cargo dos Órgãos ou Entidades Usuários da Ata, cujos Programas de Trabalho e Elementos de Despesas constarão nas respectivas notas de empenho, Contrato ou documento equivalente, observada as condições estabelecidas no edital e ao que dispõe o artigo 62, da Lei Federal n.º 8.666/93 e alterações.</w:t>
      </w:r>
    </w:p>
    <w:p w:rsidR="00AA2AD5" w:rsidRDefault="00AA2AD5" w:rsidP="00AA2AD5">
      <w:pPr>
        <w:widowControl w:val="0"/>
        <w:spacing w:after="0" w:line="240" w:lineRule="auto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CLÁUSULA DÉCIMA PRIMEIRA –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DAS PENALIDADES E MULTAS</w:t>
      </w:r>
    </w:p>
    <w:p w:rsidR="00AA2AD5" w:rsidRDefault="00AA2AD5" w:rsidP="00AA2AD5">
      <w:pPr>
        <w:widowControl w:val="0"/>
        <w:numPr>
          <w:ilvl w:val="1"/>
          <w:numId w:val="32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Caso haja inexecução parcial ou total da Ata de Registro de Preços</w:t>
      </w:r>
      <w:r>
        <w:rPr>
          <w:rFonts w:asciiTheme="minorHAnsi" w:eastAsia="Calibri" w:hAnsiTheme="minorHAnsi" w:cstheme="minorHAnsi"/>
          <w:smallCaps/>
          <w:sz w:val="22"/>
          <w:szCs w:val="22"/>
        </w:rPr>
        <w:t>,</w:t>
      </w:r>
      <w:r>
        <w:rPr>
          <w:rFonts w:asciiTheme="minorHAnsi" w:eastAsia="Calibri" w:hAnsiTheme="minorHAnsi" w:cstheme="minorHAnsi"/>
          <w:sz w:val="22"/>
          <w:szCs w:val="22"/>
        </w:rPr>
        <w:t xml:space="preserve"> com fundamento na Lei Federal n.º 8.666/93 e alterações, consubstanciadas com as sanções previstas na Lei Federal n.º 10.520/02, a Administração poderá aplicar ao </w:t>
      </w:r>
      <w:r>
        <w:rPr>
          <w:rFonts w:asciiTheme="minorHAnsi" w:eastAsia="Batang" w:hAnsiTheme="minorHAnsi" w:cstheme="minorHAnsi"/>
          <w:sz w:val="22"/>
          <w:szCs w:val="22"/>
        </w:rPr>
        <w:t>Compromitente Fornecedor</w:t>
      </w:r>
      <w:r>
        <w:rPr>
          <w:rFonts w:asciiTheme="minorHAnsi" w:eastAsia="Calibri" w:hAnsiTheme="minorHAnsi" w:cstheme="minorHAnsi"/>
          <w:sz w:val="22"/>
          <w:szCs w:val="22"/>
        </w:rPr>
        <w:t xml:space="preserve"> as seguintes penalidades, sem prejuízo das responsabilidades civil e criminal.</w:t>
      </w:r>
    </w:p>
    <w:p w:rsidR="00AA2AD5" w:rsidRDefault="00AA2AD5" w:rsidP="00AA2AD5">
      <w:pPr>
        <w:widowControl w:val="0"/>
        <w:suppressAutoHyphens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2"/>
          <w:numId w:val="30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Por inexecução ou execução irregular do fornecimento ou de prestação de serviços, nos termos da ATA:</w:t>
      </w:r>
    </w:p>
    <w:p w:rsidR="00AA2AD5" w:rsidRDefault="00AA2AD5" w:rsidP="00AA2AD5">
      <w:pPr>
        <w:numPr>
          <w:ilvl w:val="0"/>
          <w:numId w:val="34"/>
        </w:numPr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Advertência, por escrito;</w:t>
      </w:r>
    </w:p>
    <w:p w:rsidR="00AA2AD5" w:rsidRDefault="00AA2AD5" w:rsidP="00AA2AD5">
      <w:pPr>
        <w:numPr>
          <w:ilvl w:val="0"/>
          <w:numId w:val="34"/>
        </w:numPr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Multa moratória de 0,33% (trinta e três décimos por cento) por dia de atraso na entrega, incidente sobre o valor total do item registrado para a Empresa, limitada a incidência a 10 (dez) dias, que </w:t>
      </w:r>
      <w:proofErr w:type="gramStart"/>
      <w:r>
        <w:rPr>
          <w:rFonts w:asciiTheme="minorHAnsi" w:eastAsia="Batang" w:hAnsiTheme="minorHAnsi" w:cstheme="minorHAnsi"/>
          <w:sz w:val="22"/>
          <w:szCs w:val="22"/>
        </w:rPr>
        <w:t>contar-se-á</w:t>
      </w:r>
      <w:proofErr w:type="gramEnd"/>
      <w:r>
        <w:rPr>
          <w:rFonts w:asciiTheme="minorHAnsi" w:eastAsia="Batang" w:hAnsiTheme="minorHAnsi" w:cstheme="minorHAnsi"/>
          <w:sz w:val="22"/>
          <w:szCs w:val="22"/>
        </w:rPr>
        <w:t xml:space="preserve"> a partir da data limite para a entrega fixada nesta Ata de Registro ou após o prazo concedido para às substituições ou modificações devidas quando o objeto licitado estiver em desacordo com as especificações previstas; a partir do 10º (décimo) dia de atraso, configurar-se-á inexecução total ou parcial da Ata de Registro, com as consequências daí advindas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AA2AD5" w:rsidRDefault="00AA2AD5" w:rsidP="00AA2AD5">
      <w:pPr>
        <w:numPr>
          <w:ilvl w:val="0"/>
          <w:numId w:val="34"/>
        </w:numPr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Liberação da referida Ata e </w:t>
      </w:r>
      <w:proofErr w:type="spellStart"/>
      <w:r>
        <w:rPr>
          <w:rFonts w:asciiTheme="minorHAnsi" w:eastAsia="Batang" w:hAnsiTheme="minorHAnsi" w:cstheme="minorHAnsi"/>
          <w:sz w:val="22"/>
          <w:szCs w:val="22"/>
        </w:rPr>
        <w:t>cancelamen</w:t>
      </w:r>
      <w:proofErr w:type="spellEnd"/>
    </w:p>
    <w:p w:rsidR="00AA2AD5" w:rsidRDefault="00AA2AD5" w:rsidP="00AA2AD5">
      <w:pPr>
        <w:numPr>
          <w:ilvl w:val="0"/>
          <w:numId w:val="34"/>
        </w:numPr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proofErr w:type="gramStart"/>
      <w:r>
        <w:rPr>
          <w:rFonts w:asciiTheme="minorHAnsi" w:eastAsia="Batang" w:hAnsiTheme="minorHAnsi" w:cstheme="minorHAnsi"/>
          <w:sz w:val="22"/>
          <w:szCs w:val="22"/>
        </w:rPr>
        <w:t>to</w:t>
      </w:r>
      <w:proofErr w:type="spellEnd"/>
      <w:proofErr w:type="gramEnd"/>
      <w:r>
        <w:rPr>
          <w:rFonts w:asciiTheme="minorHAnsi" w:eastAsia="Batang" w:hAnsiTheme="minorHAnsi" w:cstheme="minorHAnsi"/>
          <w:sz w:val="22"/>
          <w:szCs w:val="22"/>
        </w:rPr>
        <w:t xml:space="preserve"> do preço registrado após o 10º (décimo) dia de atraso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AA2AD5" w:rsidRDefault="00AA2AD5" w:rsidP="00AA2AD5">
      <w:pPr>
        <w:numPr>
          <w:ilvl w:val="0"/>
          <w:numId w:val="34"/>
        </w:numPr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Multa compensatória de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:rsidR="00AA2AD5" w:rsidRDefault="00AA2AD5" w:rsidP="00AA2AD5">
      <w:pPr>
        <w:numPr>
          <w:ilvl w:val="0"/>
          <w:numId w:val="36"/>
        </w:numPr>
        <w:spacing w:after="0" w:line="240" w:lineRule="auto"/>
        <w:ind w:left="1701" w:hanging="425"/>
        <w:jc w:val="both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3% (três por cento) sobre o valor correspondente a parte não cumprida da Ata de Registro por ocorrência, até o limite de 9% (nove por cento), em caso de inexecução parcial da presente Ata; </w:t>
      </w:r>
      <w:proofErr w:type="gramStart"/>
      <w:r>
        <w:rPr>
          <w:rFonts w:asciiTheme="minorHAnsi" w:eastAsia="Batang" w:hAnsiTheme="minorHAnsi" w:cstheme="minorHAnsi"/>
          <w:sz w:val="22"/>
          <w:szCs w:val="22"/>
        </w:rPr>
        <w:t>e</w:t>
      </w:r>
      <w:proofErr w:type="gramEnd"/>
    </w:p>
    <w:p w:rsidR="00AA2AD5" w:rsidRDefault="00AA2AD5" w:rsidP="00AA2AD5">
      <w:pPr>
        <w:numPr>
          <w:ilvl w:val="0"/>
          <w:numId w:val="36"/>
        </w:numPr>
        <w:spacing w:after="0" w:line="240" w:lineRule="auto"/>
        <w:ind w:left="1701" w:hanging="425"/>
        <w:jc w:val="both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30% (trinta por cento) sobre o valor da Ata de Registro, em caso de inexecução total da obrigação assumida.</w:t>
      </w:r>
    </w:p>
    <w:p w:rsidR="00AA2AD5" w:rsidRDefault="00AA2AD5" w:rsidP="00AA2AD5">
      <w:pPr>
        <w:ind w:left="1701"/>
        <w:jc w:val="both"/>
        <w:rPr>
          <w:rFonts w:asciiTheme="minorHAnsi" w:eastAsia="Batang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A apresentação de documentação falsa, não manutenção da proposta e cometimento de fraude fiscal, acarretará sem prejuízo das demais cominações legais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numPr>
          <w:ilvl w:val="0"/>
          <w:numId w:val="40"/>
        </w:numPr>
        <w:spacing w:after="0" w:line="240" w:lineRule="auto"/>
        <w:ind w:left="284" w:firstLine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Suspensão temporária de participação em licitação ou impedimento de contratar com a Administração de até 05 (cinco) anos e descredenciamento do Certificado de Registro Cadastral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AA2AD5" w:rsidRDefault="00AA2AD5" w:rsidP="00AA2AD5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Quaisquer multas, quando aplicadas, deverão ser pagas espontaneamente no prazo máximo de 05 (cinco) dias na Tesouraria do Município de Coronel Sapucaia ou serão deduzidas </w:t>
      </w:r>
      <w:r>
        <w:rPr>
          <w:rFonts w:asciiTheme="minorHAnsi" w:eastAsia="Batang" w:hAnsiTheme="minorHAnsi" w:cstheme="minorHAnsi"/>
          <w:sz w:val="22"/>
          <w:szCs w:val="22"/>
        </w:rPr>
        <w:lastRenderedPageBreak/>
        <w:t>do valor correspondente ao valor do fornecimento ou, ainda, cobradas judicialmente, ficando garantida a defesa prévia do compromitente Fornecedor nos prazos estabelecidos em lei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As penalidades aplicadas serão, obrigatoriamente, anotadas no Certificado de Registro Cadastral do Fornecedor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As penalidades somente poderão ser relevadas ou atenuadas pela autoridade competente, mediante aplicação do princípio da proporcionalidade, em razão de circunstâncias fundamentadas em fatos reais e comprovadas, desde que requeridas por escrito, no prazo máximo de 05 (cinco) dias úteis da data em que for notificada da pretensão da Administração da aplicação da pena. 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As penalidades estabelecidas em lei não excluem qualquer outra prevista nesta Ata de Registro, nem a responsabilidade do Compromitente Fornecedor por perdas, danos e prejuízos, que causar ao Município de Coronel Sapucaia-MS ou a terceiros em consequência do inadimplemento das condições contratuais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Os danos e prejuízos serão ressarcidos ao Município de Coronel Sapucaia-MS no prazo máximo de 48 (quarenta e oito) horas, contado da notificação administrativa do Compromitente Fornecedor, </w:t>
      </w:r>
      <w:proofErr w:type="gramStart"/>
      <w:r>
        <w:rPr>
          <w:rFonts w:asciiTheme="minorHAnsi" w:eastAsia="Batang" w:hAnsiTheme="minorHAnsi" w:cstheme="minorHAnsi"/>
          <w:sz w:val="22"/>
          <w:szCs w:val="22"/>
        </w:rPr>
        <w:t>sob pena</w:t>
      </w:r>
      <w:proofErr w:type="gramEnd"/>
      <w:r>
        <w:rPr>
          <w:rFonts w:asciiTheme="minorHAnsi" w:eastAsia="Batang" w:hAnsiTheme="minorHAnsi" w:cstheme="minorHAnsi"/>
          <w:sz w:val="22"/>
          <w:szCs w:val="22"/>
        </w:rPr>
        <w:t xml:space="preserve"> de multa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numPr>
          <w:ilvl w:val="1"/>
          <w:numId w:val="38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Compromitente Fornecedor terá o prazo de 05 (cinco) dias úteis, contados a partir de sua notificação, para recorrer das penas aplicadas nessa cláusula. Decorrido este prazo, a penalidade passa a ser considerada como aceita na forma como foi apresentada.</w:t>
      </w:r>
    </w:p>
    <w:p w:rsidR="00AA2AD5" w:rsidRDefault="00AA2AD5" w:rsidP="00AA2AD5">
      <w:pPr>
        <w:widowControl w:val="0"/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CLÁUSULA DÉCIMA SEGUNDA –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DA FRAUDE E DA CORRUPÇÃO</w:t>
      </w:r>
    </w:p>
    <w:p w:rsidR="00AA2AD5" w:rsidRDefault="00AA2AD5" w:rsidP="00AA2AD5">
      <w:pPr>
        <w:widowControl w:val="0"/>
        <w:numPr>
          <w:ilvl w:val="1"/>
          <w:numId w:val="42"/>
        </w:numPr>
        <w:suppressAutoHyphens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Os licitantes e o contratado devem observar e fazer observar, o mais alto padrão ético durante todo o processo de licitação, de contratação e de execução do objeto contratual.</w:t>
      </w:r>
    </w:p>
    <w:p w:rsidR="00AA2AD5" w:rsidRDefault="00AA2AD5" w:rsidP="00AA2AD5">
      <w:pPr>
        <w:widowControl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SUBCLÁUSULA PRIMEIRA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Para os propósitos desta cláusula, definem-se as seguintes práticas:</w:t>
      </w:r>
    </w:p>
    <w:p w:rsidR="00AA2AD5" w:rsidRDefault="00AA2AD5" w:rsidP="00AA2AD5">
      <w:pPr>
        <w:widowControl w:val="0"/>
        <w:numPr>
          <w:ilvl w:val="0"/>
          <w:numId w:val="44"/>
        </w:numPr>
        <w:suppressAutoHyphens/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prática corrupta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”: oferecer, dar, receber ou solicitar, direta ou indiretamente, qualquer vantagem com o objetivo de influenciar a ação de servidor público no processo de licitação ou no cumprimento de Contrato;</w:t>
      </w:r>
    </w:p>
    <w:p w:rsidR="00AA2AD5" w:rsidRDefault="00AA2AD5" w:rsidP="00AA2AD5">
      <w:pPr>
        <w:widowControl w:val="0"/>
        <w:numPr>
          <w:ilvl w:val="0"/>
          <w:numId w:val="44"/>
        </w:numPr>
        <w:suppressAutoHyphens/>
        <w:spacing w:after="0" w:line="240" w:lineRule="auto"/>
        <w:ind w:left="1276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prática fraudulenta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”: a falsificação ou omissão dos fatos, com o objetivo de influenciar o processo de licitação ou de cumprimento do Contrato;</w:t>
      </w:r>
    </w:p>
    <w:p w:rsidR="00AA2AD5" w:rsidRDefault="00AA2AD5" w:rsidP="00AA2AD5">
      <w:pPr>
        <w:widowControl w:val="0"/>
        <w:numPr>
          <w:ilvl w:val="0"/>
          <w:numId w:val="44"/>
        </w:numPr>
        <w:suppressAutoHyphens/>
        <w:spacing w:after="0" w:line="240" w:lineRule="auto"/>
        <w:ind w:left="1276" w:right="-1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prática conluiada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”: esquematizar ou estabelecer um acordo entre dois ou mais licitantes, com ou sem o conhecimento de representantes ou prepostos do órgão licitador, visando estabelecer preços em níveis artificiais e </w:t>
      </w:r>
      <w:proofErr w:type="gram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não-competitivos</w:t>
      </w:r>
      <w:proofErr w:type="gramEnd"/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AA2AD5" w:rsidRDefault="00AA2AD5" w:rsidP="00AA2AD5">
      <w:pPr>
        <w:widowControl w:val="0"/>
        <w:numPr>
          <w:ilvl w:val="0"/>
          <w:numId w:val="44"/>
        </w:numPr>
        <w:suppressAutoHyphens/>
        <w:spacing w:after="0" w:line="240" w:lineRule="auto"/>
        <w:ind w:left="1276" w:right="-1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prática coercitiva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”: causar danos ou ameaçar causar dano, direta ou indiretamente, às pessoas ou sua propriedade, visando influenciar sua participação em um processo licitatório ou afetar a execução do Contrato.</w:t>
      </w:r>
    </w:p>
    <w:p w:rsidR="00AA2AD5" w:rsidRDefault="00AA2AD5" w:rsidP="00AA2AD5">
      <w:pPr>
        <w:widowControl w:val="0"/>
        <w:numPr>
          <w:ilvl w:val="0"/>
          <w:numId w:val="44"/>
        </w:numPr>
        <w:suppressAutoHyphens/>
        <w:spacing w:after="0" w:line="240" w:lineRule="auto"/>
        <w:ind w:left="1276" w:right="-1" w:hanging="56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prática obstrutiva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”: (i) destruir, falsificar, alterar ou ocultar provas em inspeções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ii</w:t>
      </w:r>
      <w:proofErr w:type="spellEnd"/>
      <w:proofErr w:type="gramEnd"/>
      <w:r>
        <w:rPr>
          <w:rFonts w:asciiTheme="minorHAnsi" w:eastAsia="Calibri" w:hAnsiTheme="minorHAnsi" w:cstheme="minorHAnsi"/>
          <w:color w:val="000000"/>
          <w:sz w:val="22"/>
          <w:szCs w:val="22"/>
        </w:rPr>
        <w:t>) atos cuja intenção seja impedir materialmente o exercício do direito de o organismo financeiro multilateral promover inspeção.</w:t>
      </w:r>
    </w:p>
    <w:p w:rsidR="00AA2AD5" w:rsidRDefault="00AA2AD5" w:rsidP="00AA2AD5">
      <w:pPr>
        <w:widowControl w:val="0"/>
        <w:suppressAutoHyphens/>
        <w:ind w:left="1276" w:right="-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A2AD5" w:rsidRDefault="00AA2AD5" w:rsidP="00AA2AD5">
      <w:pPr>
        <w:widowControl w:val="0"/>
        <w:ind w:left="720" w:right="-1" w:hanging="1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SUBCLÁUSULA SEGUNDA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Na hipótese de financiamento, parcial ou integral, por organismo financeiro multilateral, mediante adiantamento ou reembolso, este organismo imporá sanção sobre uma empresa ou pessoa física, inclusive declarando-a inidônea, indefinidamente ou por prazo determinado, para a outorga de contratos financiados pelo organismo se, em qualquer momento, constatar o envolvimento da empresa, diretamente ou por meio de um agente, em práticas corruptas, fraudulentas,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colusivas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 coercitivas ou obstrutivas ao participar da licitação ou da execução um contrato financiado pelo organismo.</w:t>
      </w:r>
    </w:p>
    <w:p w:rsidR="00AA2AD5" w:rsidRDefault="00AA2AD5" w:rsidP="00AA2AD5">
      <w:pPr>
        <w:widowControl w:val="0"/>
        <w:ind w:left="720" w:right="-1" w:hanging="1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SUBCLÁUSULA TERCEIRA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Considerando os propósitos das cláusulas acima, o </w:t>
      </w:r>
      <w:r>
        <w:rPr>
          <w:rFonts w:asciiTheme="minorHAnsi" w:eastAsia="Calibri" w:hAnsiTheme="minorHAnsi" w:cstheme="minorHAnsi"/>
          <w:sz w:val="22"/>
          <w:szCs w:val="22"/>
        </w:rPr>
        <w:t>Compromitente Fornecedor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concorda e autoriza que, na hipótese de o contrato vir a ser financiado, em parte ou integralmente, por organismo financeiro multilateral, mediante adiantamento ou reembolso, o organismo financeiro e/ou pessoas por ele formalmente indicadas possam inspecionar o local de execução ou as condições de entrega dos </w:t>
      </w:r>
      <w:r>
        <w:rPr>
          <w:rFonts w:asciiTheme="minorHAnsi" w:hAnsiTheme="minorHAnsi" w:cstheme="minorHAnsi"/>
          <w:sz w:val="22"/>
          <w:szCs w:val="22"/>
        </w:rPr>
        <w:t>produtos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 conforme o caso do contrato e todos os documentos, contas e registros relacionados à licitação e à execução do Contrato.</w:t>
      </w: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CLÁUSULA DÉCIMA TERCEIRA –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DA EFICÁCIA</w:t>
      </w:r>
    </w:p>
    <w:p w:rsidR="00AA2AD5" w:rsidRDefault="00AA2AD5" w:rsidP="00AA2AD5">
      <w:pPr>
        <w:widowControl w:val="0"/>
        <w:numPr>
          <w:ilvl w:val="1"/>
          <w:numId w:val="46"/>
        </w:numPr>
        <w:spacing w:after="0" w:line="240" w:lineRule="auto"/>
        <w:ind w:left="0" w:right="-1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 presente Termo de Registro de Preços somente terá eficácia após a publicação do respectivo extrato na Imprensa Oficial, para que produza seus efeitos legais e jurídicos.</w:t>
      </w:r>
    </w:p>
    <w:p w:rsidR="00AA2AD5" w:rsidRDefault="00AA2AD5" w:rsidP="00AA2AD5">
      <w:pPr>
        <w:widowControl w:val="0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mirrorIndents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CLÁUSULA DÉCIMA QUARTA –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DO FORO</w:t>
      </w:r>
    </w:p>
    <w:p w:rsidR="00AA2AD5" w:rsidRDefault="00AA2AD5" w:rsidP="00AA2AD5">
      <w:pPr>
        <w:widowControl w:val="0"/>
        <w:numPr>
          <w:ilvl w:val="1"/>
          <w:numId w:val="48"/>
        </w:numPr>
        <w:spacing w:after="0" w:line="240" w:lineRule="auto"/>
        <w:ind w:left="0" w:right="-1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Fica eleito o foro da Comarca de Coronel Sapucaia, Estado de Mato Grosso do Sul, para dirimir todas as questões </w:t>
      </w:r>
      <w:r>
        <w:rPr>
          <w:rFonts w:asciiTheme="minorHAnsi" w:eastAsia="Calibri" w:hAnsiTheme="minorHAnsi" w:cstheme="minorHAnsi"/>
          <w:sz w:val="22"/>
          <w:szCs w:val="22"/>
        </w:rPr>
        <w:t>oriundas do presente instrumento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sendo esta, competente para a propositura de qualquer medida judicial, decorrente deste instrumento, com a exclusão de qualquer outro, por mais privilegiado que seja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AA2AD5" w:rsidRDefault="00AA2AD5" w:rsidP="00AA2AD5">
      <w:pPr>
        <w:widowControl w:val="0"/>
        <w:ind w:right="-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E, por estarem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as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partes justas e compromissadas, assinam o presente Termo em três vias, de igual teor, na presença das testemunhas abaixo assinadas.</w:t>
      </w:r>
    </w:p>
    <w:p w:rsidR="00AA2AD5" w:rsidRDefault="00AA2AD5" w:rsidP="00AA2AD5">
      <w:pPr>
        <w:spacing w:before="240" w:after="360"/>
        <w:jc w:val="right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Coronel Sapucaia-MS, 03</w:t>
      </w:r>
      <w:proofErr w:type="gramStart"/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de Abril de 2023.</w:t>
      </w:r>
    </w:p>
    <w:tbl>
      <w:tblPr>
        <w:tblW w:w="10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0"/>
      </w:tblGrid>
      <w:tr w:rsidR="00AA2AD5" w:rsidTr="00AA2AD5">
        <w:trPr>
          <w:trHeight w:val="422"/>
        </w:trPr>
        <w:tc>
          <w:tcPr>
            <w:tcW w:w="10113" w:type="dxa"/>
            <w:vAlign w:val="center"/>
          </w:tcPr>
          <w:p w:rsidR="00AA2AD5" w:rsidRDefault="00AA2AD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</w:pPr>
          </w:p>
          <w:p w:rsidR="00AA2AD5" w:rsidRDefault="00AA2AD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</w:pPr>
          </w:p>
          <w:p w:rsidR="00AA2AD5" w:rsidRDefault="00AA2AD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eastAsia="en-US"/>
              </w:rPr>
              <w:t>Najla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eastAsia="en-US"/>
              </w:rPr>
              <w:t xml:space="preserve"> Mariano </w:t>
            </w:r>
          </w:p>
          <w:p w:rsidR="00AA2AD5" w:rsidRDefault="00AA2AD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______________________________________________________</w:t>
            </w:r>
          </w:p>
        </w:tc>
      </w:tr>
      <w:tr w:rsidR="00AA2AD5" w:rsidTr="00AA2AD5">
        <w:trPr>
          <w:trHeight w:val="397"/>
        </w:trPr>
        <w:tc>
          <w:tcPr>
            <w:tcW w:w="10113" w:type="dxa"/>
            <w:vAlign w:val="center"/>
            <w:hideMark/>
          </w:tcPr>
          <w:p w:rsidR="00AA2AD5" w:rsidRDefault="00AA2AD5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 xml:space="preserve">Secretaria Municipal de Saúde Pública </w:t>
            </w:r>
          </w:p>
        </w:tc>
      </w:tr>
    </w:tbl>
    <w:p w:rsidR="00AA2AD5" w:rsidRDefault="00AA2AD5" w:rsidP="00AA2AD5">
      <w:pPr>
        <w:tabs>
          <w:tab w:val="right" w:pos="9781"/>
        </w:tabs>
        <w:spacing w:after="0" w:line="240" w:lineRule="auto"/>
        <w:ind w:right="-143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MORETI DISTRIBUIDORA EIRELI</w:t>
      </w: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Daniel da Silva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Paganotti</w:t>
      </w:r>
      <w:proofErr w:type="spellEnd"/>
      <w:proofErr w:type="gramStart"/>
      <w:r>
        <w:rPr>
          <w:rFonts w:asciiTheme="minorHAnsi" w:eastAsia="Calibri" w:hAnsiTheme="minorHAnsi" w:cstheme="minorHAnsi"/>
          <w:sz w:val="22"/>
          <w:szCs w:val="22"/>
        </w:rPr>
        <w:t xml:space="preserve">  </w:t>
      </w: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End"/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</w:rPr>
      </w:pPr>
    </w:p>
    <w:p w:rsidR="00AA2AD5" w:rsidRDefault="00AA2AD5" w:rsidP="00AA2AD5">
      <w:pPr>
        <w:tabs>
          <w:tab w:val="right" w:pos="9781"/>
        </w:tabs>
        <w:spacing w:after="0" w:line="240" w:lineRule="auto"/>
        <w:ind w:right="-142"/>
        <w:jc w:val="both"/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</w:rPr>
        <w:t>Testemunhas: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AA2AD5" w:rsidTr="00AA2AD5">
        <w:tc>
          <w:tcPr>
            <w:tcW w:w="4996" w:type="dxa"/>
          </w:tcPr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  <w:t>___________________________</w:t>
            </w: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>Gabrielly</w:t>
            </w:r>
            <w:proofErr w:type="spellEnd"/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 xml:space="preserve"> Ap. de Sousa Silva</w:t>
            </w: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  <w:t xml:space="preserve">CPF: </w:t>
            </w:r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>073.442.261-03</w:t>
            </w:r>
          </w:p>
        </w:tc>
        <w:tc>
          <w:tcPr>
            <w:tcW w:w="4997" w:type="dxa"/>
          </w:tcPr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  <w:t>___________________________</w:t>
            </w:r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>Gessica</w:t>
            </w:r>
            <w:proofErr w:type="spellEnd"/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>Scarco</w:t>
            </w:r>
            <w:proofErr w:type="spellEnd"/>
          </w:p>
          <w:p w:rsidR="00AA2AD5" w:rsidRDefault="00AA2AD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en-US"/>
              </w:rPr>
              <w:t xml:space="preserve">CPF: </w:t>
            </w:r>
            <w:r>
              <w:rPr>
                <w:rFonts w:ascii="Arial Narrow" w:eastAsia="TimesNewRomanPS-BoldMT" w:hAnsi="Arial Narrow" w:cs="Arial Narrow"/>
                <w:sz w:val="26"/>
                <w:szCs w:val="26"/>
                <w:lang w:eastAsia="en-US"/>
              </w:rPr>
              <w:t>079.681.631-02</w:t>
            </w:r>
          </w:p>
        </w:tc>
      </w:tr>
    </w:tbl>
    <w:p w:rsidR="00AA2AD5" w:rsidRDefault="00AA2AD5" w:rsidP="00AA2AD5">
      <w:pPr>
        <w:pStyle w:val="Recuodecorpodetexto"/>
        <w:widowControl w:val="0"/>
        <w:tabs>
          <w:tab w:val="left" w:pos="709"/>
          <w:tab w:val="left" w:pos="1276"/>
        </w:tabs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A2AD5" w:rsidRDefault="00AA2AD5" w:rsidP="00AA2AD5"/>
    <w:p w:rsidR="004648C0" w:rsidRDefault="004648C0"/>
    <w:sectPr w:rsidR="00464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FF" w:rsidRDefault="009244FF" w:rsidP="009244FF">
      <w:pPr>
        <w:spacing w:after="0" w:line="240" w:lineRule="auto"/>
      </w:pPr>
      <w:r>
        <w:separator/>
      </w:r>
    </w:p>
  </w:endnote>
  <w:endnote w:type="continuationSeparator" w:id="0">
    <w:p w:rsidR="009244FF" w:rsidRDefault="009244FF" w:rsidP="0092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FF" w:rsidRDefault="009244FF" w:rsidP="009244FF">
      <w:pPr>
        <w:spacing w:after="0" w:line="240" w:lineRule="auto"/>
      </w:pPr>
      <w:r>
        <w:separator/>
      </w:r>
    </w:p>
  </w:footnote>
  <w:footnote w:type="continuationSeparator" w:id="0">
    <w:p w:rsidR="009244FF" w:rsidRDefault="009244FF" w:rsidP="0092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 w:rsidP="009244FF">
    <w:pPr>
      <w:rPr>
        <w:rFonts w:ascii="Arial Narrow" w:hAnsi="Arial Narrow"/>
        <w:b/>
      </w:rPr>
    </w:pPr>
    <w:r>
      <w:rPr>
        <w:rFonts w:ascii="Arial" w:eastAsia="Calibri" w:hAnsi="Arial" w:cs="Arial"/>
        <w:b/>
        <w:noProof/>
        <w:sz w:val="18"/>
      </w:rPr>
      <w:drawing>
        <wp:inline distT="0" distB="0" distL="0" distR="0" wp14:anchorId="3498C2F3" wp14:editId="637BC2FC">
          <wp:extent cx="1009650" cy="428625"/>
          <wp:effectExtent l="0" t="0" r="0" b="9525"/>
          <wp:docPr id="1" name="Imagem 1" descr="Descrição: Descrição: E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E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</w:rPr>
      <w:t>PREFEITURA MUNICIPAL DE CORONEL SAPUCAIA</w:t>
    </w:r>
  </w:p>
  <w:p w:rsidR="009244FF" w:rsidRDefault="009244FF" w:rsidP="009244FF">
    <w:pPr>
      <w:ind w:firstLine="708"/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              ESTADO DE MATO GROSSO DO SUL</w:t>
    </w:r>
  </w:p>
  <w:p w:rsidR="009244FF" w:rsidRDefault="009244FF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FF" w:rsidRDefault="009244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B99"/>
    <w:multiLevelType w:val="hybridMultilevel"/>
    <w:tmpl w:val="249832BC"/>
    <w:lvl w:ilvl="0" w:tplc="B6D0BF14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4D4E"/>
    <w:multiLevelType w:val="multilevel"/>
    <w:tmpl w:val="413AD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2BF063D"/>
    <w:multiLevelType w:val="multilevel"/>
    <w:tmpl w:val="8F3670C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">
    <w:nsid w:val="0431786C"/>
    <w:multiLevelType w:val="multilevel"/>
    <w:tmpl w:val="BF104B9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."/>
      <w:lvlJc w:val="left"/>
      <w:pPr>
        <w:ind w:left="75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4">
    <w:nsid w:val="071A111E"/>
    <w:multiLevelType w:val="hybridMultilevel"/>
    <w:tmpl w:val="4CA0FA6A"/>
    <w:lvl w:ilvl="0" w:tplc="36A60FEC">
      <w:start w:val="1"/>
      <w:numFmt w:val="upperRoman"/>
      <w:lvlText w:val="%1."/>
      <w:lvlJc w:val="left"/>
      <w:pPr>
        <w:ind w:left="1146" w:hanging="720"/>
      </w:pPr>
      <w:rPr>
        <w:rFonts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9C919CA"/>
    <w:multiLevelType w:val="multilevel"/>
    <w:tmpl w:val="2662CA8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9.%2."/>
      <w:lvlJc w:val="left"/>
      <w:pPr>
        <w:ind w:left="84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0E0B005C"/>
    <w:multiLevelType w:val="multilevel"/>
    <w:tmpl w:val="D91A7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131306A"/>
    <w:multiLevelType w:val="multilevel"/>
    <w:tmpl w:val="46C6672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5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157C68D3"/>
    <w:multiLevelType w:val="hybridMultilevel"/>
    <w:tmpl w:val="5F7465C8"/>
    <w:lvl w:ilvl="0" w:tplc="DEBEA7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FE43B1"/>
    <w:multiLevelType w:val="multilevel"/>
    <w:tmpl w:val="BE46F8B4"/>
    <w:lvl w:ilvl="0">
      <w:start w:val="1"/>
      <w:numFmt w:val="decimal"/>
      <w:lvlText w:val="%1."/>
      <w:lvlJc w:val="left"/>
      <w:pPr>
        <w:ind w:left="992" w:hanging="708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b w:val="0"/>
        <w:i w:val="0"/>
      </w:rPr>
    </w:lvl>
  </w:abstractNum>
  <w:abstractNum w:abstractNumId="10">
    <w:nsid w:val="1E975161"/>
    <w:multiLevelType w:val="multilevel"/>
    <w:tmpl w:val="533826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18825D1"/>
    <w:multiLevelType w:val="multilevel"/>
    <w:tmpl w:val="EC68FA90"/>
    <w:lvl w:ilvl="0">
      <w:start w:val="11"/>
      <w:numFmt w:val="decimal"/>
      <w:lvlText w:val="%1."/>
      <w:lvlJc w:val="left"/>
      <w:pPr>
        <w:ind w:left="480" w:hanging="480"/>
      </w:pPr>
      <w:rPr>
        <w:rFonts w:eastAsia="Batang" w:cs="Times New Roman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Batang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cs="Times New Roman"/>
        <w:b/>
      </w:rPr>
    </w:lvl>
  </w:abstractNum>
  <w:abstractNum w:abstractNumId="12">
    <w:nsid w:val="321C1616"/>
    <w:multiLevelType w:val="multilevel"/>
    <w:tmpl w:val="F1B418DC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."/>
      <w:lvlJc w:val="left"/>
      <w:pPr>
        <w:ind w:left="75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13">
    <w:nsid w:val="35C0363E"/>
    <w:multiLevelType w:val="hybridMultilevel"/>
    <w:tmpl w:val="66149B20"/>
    <w:lvl w:ilvl="0" w:tplc="B0B8205C">
      <w:start w:val="1"/>
      <w:numFmt w:val="lowerLetter"/>
      <w:lvlText w:val="%1)"/>
      <w:lvlJc w:val="left"/>
      <w:pPr>
        <w:tabs>
          <w:tab w:val="num" w:pos="403"/>
        </w:tabs>
        <w:ind w:left="403" w:hanging="405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4">
    <w:nsid w:val="39313F95"/>
    <w:multiLevelType w:val="multilevel"/>
    <w:tmpl w:val="0426653A"/>
    <w:lvl w:ilvl="0">
      <w:start w:val="15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color w:val="000000"/>
      </w:rPr>
    </w:lvl>
  </w:abstractNum>
  <w:abstractNum w:abstractNumId="15">
    <w:nsid w:val="39911E64"/>
    <w:multiLevelType w:val="multilevel"/>
    <w:tmpl w:val="8D30163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6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411F0F3B"/>
    <w:multiLevelType w:val="hybridMultilevel"/>
    <w:tmpl w:val="D812BC9C"/>
    <w:lvl w:ilvl="0" w:tplc="E15C4042">
      <w:start w:val="1"/>
      <w:numFmt w:val="upperRoman"/>
      <w:lvlText w:val="%1."/>
      <w:lvlJc w:val="left"/>
      <w:pPr>
        <w:ind w:left="199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51626189"/>
    <w:multiLevelType w:val="multilevel"/>
    <w:tmpl w:val="AA7017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56577D1F"/>
    <w:multiLevelType w:val="multilevel"/>
    <w:tmpl w:val="B1A48A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9">
    <w:nsid w:val="57477E34"/>
    <w:multiLevelType w:val="multilevel"/>
    <w:tmpl w:val="7C0C6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>
    <w:nsid w:val="5A930BCE"/>
    <w:multiLevelType w:val="hybridMultilevel"/>
    <w:tmpl w:val="40661B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616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FCDC3148">
      <w:start w:val="1"/>
      <w:numFmt w:val="upp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44501"/>
    <w:multiLevelType w:val="multilevel"/>
    <w:tmpl w:val="BCF8F12A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FA9314A"/>
    <w:multiLevelType w:val="multilevel"/>
    <w:tmpl w:val="3D1A875A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8.%2."/>
      <w:lvlJc w:val="left"/>
      <w:pPr>
        <w:ind w:left="644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/>
      </w:rPr>
    </w:lvl>
  </w:abstractNum>
  <w:abstractNum w:abstractNumId="23">
    <w:nsid w:val="73C22B5B"/>
    <w:multiLevelType w:val="hybridMultilevel"/>
    <w:tmpl w:val="FAB83248"/>
    <w:lvl w:ilvl="0" w:tplc="4A88A9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7A"/>
    <w:rsid w:val="003075E7"/>
    <w:rsid w:val="004648C0"/>
    <w:rsid w:val="009244FF"/>
    <w:rsid w:val="00A0147A"/>
    <w:rsid w:val="00A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D5"/>
    <w:pPr>
      <w:spacing w:after="160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2A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1"/>
    <w:locked/>
    <w:rsid w:val="00AA2A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AA2AD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4F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D5"/>
    <w:pPr>
      <w:spacing w:after="160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2A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2AD5"/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1"/>
    <w:locked/>
    <w:rsid w:val="00AA2A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AA2AD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4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4665</Words>
  <Characters>25196</Characters>
  <Application>Microsoft Office Word</Application>
  <DocSecurity>0</DocSecurity>
  <Lines>209</Lines>
  <Paragraphs>59</Paragraphs>
  <ScaleCrop>false</ScaleCrop>
  <Company/>
  <LinksUpToDate>false</LinksUpToDate>
  <CharactersWithSpaces>29802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2023-04-18T14:47:00Z</dcterms:created>
  <dcterms:modified xsi:type="dcterms:W3CDTF">2023-04-18T15:37:00Z</dcterms:modified>
</cp:coreProperties>
</file>