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720"/>
        <w:gridCol w:w="223"/>
        <w:gridCol w:w="592"/>
        <w:gridCol w:w="842"/>
        <w:gridCol w:w="1472"/>
        <w:gridCol w:w="1295"/>
      </w:tblGrid>
      <w:tr w:rsidR="004909B6">
        <w:tc>
          <w:tcPr>
            <w:tcW w:w="6223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 xml:space="preserve">Jardim </w:t>
            </w:r>
            <w:proofErr w:type="spellStart"/>
            <w:r w:rsidR="00A5029B">
              <w:rPr>
                <w:rFonts w:ascii="Arial Narrow" w:hAnsi="Arial Narrow"/>
              </w:rPr>
              <w:t>Si</w:t>
            </w:r>
            <w:r w:rsidR="00AA6343">
              <w:rPr>
                <w:rFonts w:ascii="Arial Narrow" w:hAnsi="Arial Narrow"/>
              </w:rPr>
              <w:t>riema</w:t>
            </w:r>
            <w:proofErr w:type="spellEnd"/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AUTORIZAÇÃO DE COMPRA Nº 0</w:t>
            </w:r>
            <w:r w:rsidR="004F77B4">
              <w:rPr>
                <w:rFonts w:ascii="Arial Narrow" w:hAnsi="Arial Narrow"/>
                <w:b/>
              </w:rPr>
              <w:t>08</w:t>
            </w:r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7618AA">
              <w:rPr>
                <w:rFonts w:ascii="Arial Narrow" w:hAnsi="Arial Narrow"/>
                <w:b/>
                <w:szCs w:val="24"/>
              </w:rPr>
              <w:t>07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7618AA">
              <w:rPr>
                <w:rFonts w:ascii="Arial Narrow" w:hAnsi="Arial Narrow"/>
                <w:b/>
                <w:szCs w:val="24"/>
              </w:rPr>
              <w:t>03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4F77B4">
              <w:rPr>
                <w:rFonts w:ascii="Arial Narrow" w:hAnsi="Arial Narrow"/>
                <w:b/>
                <w:bCs/>
                <w:szCs w:val="24"/>
              </w:rPr>
              <w:t>LEONARDO SKRASCKE -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F77B4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AVENIDA ABILIO ESPINDOLA SOBRINHO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4F77B4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410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4F77B4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Bairro: </w:t>
            </w:r>
            <w:proofErr w:type="gramStart"/>
            <w:r w:rsidR="004F77B4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CENTRO</w:t>
            </w:r>
            <w:proofErr w:type="gramEnd"/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7618AA">
              <w:rPr>
                <w:rFonts w:ascii="Arial Narrow" w:hAnsi="Arial Narrow"/>
                <w:szCs w:val="24"/>
              </w:rPr>
              <w:t>CORONEL SAPUCAIA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9A7F11">
              <w:rPr>
                <w:rFonts w:ascii="Arial Narrow" w:hAnsi="Arial Narrow"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4F77B4">
              <w:rPr>
                <w:rFonts w:ascii="Arial Narrow" w:hAnsi="Arial Narrow"/>
                <w:b/>
                <w:bCs/>
                <w:szCs w:val="24"/>
              </w:rPr>
              <w:t>11.741.844/0001-00</w:t>
            </w:r>
          </w:p>
        </w:tc>
      </w:tr>
      <w:tr w:rsidR="004909B6">
        <w:trPr>
          <w:cantSplit/>
          <w:trHeight w:val="270"/>
        </w:trPr>
        <w:tc>
          <w:tcPr>
            <w:tcW w:w="60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ITEM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09B6" w:rsidRPr="00F62685" w:rsidRDefault="004909B6" w:rsidP="00F6268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DISCRIMINAÇÃO</w:t>
            </w:r>
          </w:p>
        </w:tc>
        <w:tc>
          <w:tcPr>
            <w:tcW w:w="72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UNID.</w:t>
            </w:r>
          </w:p>
        </w:tc>
        <w:tc>
          <w:tcPr>
            <w:tcW w:w="815" w:type="dxa"/>
            <w:gridSpan w:val="2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  <w:lang w:val="pt-PT"/>
              </w:rPr>
              <w:t>QUANT</w:t>
            </w:r>
          </w:p>
        </w:tc>
        <w:tc>
          <w:tcPr>
            <w:tcW w:w="84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MARCA</w:t>
            </w:r>
          </w:p>
        </w:tc>
        <w:tc>
          <w:tcPr>
            <w:tcW w:w="147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VLR UNIT</w:t>
            </w:r>
          </w:p>
        </w:tc>
        <w:tc>
          <w:tcPr>
            <w:tcW w:w="1295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VLR TOTAL</w:t>
            </w:r>
          </w:p>
        </w:tc>
      </w:tr>
      <w:tr w:rsidR="004F77B4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F77B4" w:rsidRPr="00F00671" w:rsidRDefault="004F77B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7B4" w:rsidRDefault="004F77B4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SCANNER,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BASE PLANA, ALIMENTADOR AUTOMÁTICO DE DOCUMENTOS; DESTINOS DE NUVEM; GOOGLE DRIVE; BOX; FTP; IMPRESSORA; FAX; APLICATIVO DE LINHA DE COMANDO DEFINIDO PELO USUÁRIO; PASTA DA WEB,RESOLUÇÃO DE DIGITALIZAÇÃO, ÓPTICA,ATÉ 600 PPP,CICLO DE TRABALHO,CICLO DE OPERAÇÃO,RECOMENDADO: 3000 PÁGINAS,PROFUNDIDADE DE BITS,24 BITS,NÍVEIS DA ESCALA DE CINZA,DETECÇÃO DE MULTI- ALIMENTAÇÃO,ULTRASÕNICO ,TAMANHO DA DIGITALIZAÇÃO, MÁXIMO,216 X 356 MM,TIPOS DE MÍDIA SUPORTADOS,PAPEL (COMUM, JATO DE TINTA, FOTOGRÁFICO),GRAMATURAS DE MÍDIA, ADF SUPORTADO,49 A 120 G/M²,FORMATOS DOS ARQUIVOS DIGITALIZADOS,PDF (SOMENTE IMAGEM, PESQUISÁVEL, MRC, PDF/A, CRIPTOGRA FADO), TIFF (PÁGINA ÚNICA, VÁRIAS PÁGINAS, COMPACTADO: G3, G4, LZW, JPEG), DOC, RTF, WPD, XLS, TXT, XML, XPS, HTML, OPF, JPG, BMP, PNG; SOFTWARE DE DIGITALIZAÇÃO COM O SOFTWARE DE DIGITALIZAÇÃO INTELI GENTE DE DOCUMENTOS. APLICAÇÃO DE USUÁRIO VIA DRIVERS TWAIN, ISIS, WIA OU KOFAX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VRS,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FUNÇÕES AVANÇA DAS DO SCANNER,APRIMORAMENTOS DE IMAGEM COMO REMOÇÃO DE PÁGINAS EM BRANCO, CORTE, CORREÇÃO DE DISTORÇÃO, ORIENTAÇÃO; DETECÇÃO DE CÓDIGO DE BARRA, DIGITALIZAÇÃO EM FRENTE E VERSO, SUSPENSÃO (COM ILUMINAÇÃO LED),LCD BACK-LIT DE 4 LINHAS,ESPECIFICAÇÕES DO ADF,SISTEMAS OPERACIONAIS COMPATÍ VEIS,SISTEMAS OPERACIONAIS COMPATÍVEISWINDOWS 10, WINDOWS 8, WINDOWS 7, WINDOWS 7 X64, WINDOWS VISTA, WINDOWS VISTA X64, WINDOWS XP HOME, WINDOWS XP PROFESSIONAL X64,APPLE OS X EL CAPITAN (V10.11), YOSEMITE (V10.10), MAVERICKS (V10.9),COMPATÍVEL COM MACCONECTIVIDADE, PADRÃO,1 HI-SPEED USB 2.0,CONECTIVIDADE, OPCIONAL,SERVIDOR DE DISPOSITIVO USB SILEX SX-DS-3000U1 FAST ETHERNET, SERVI DOR DE DISPOSITIVO USB SILEX SX-3000GB GIGABIT;OPERAÇÃO VOLTAGE TENSÃO DE ENTRADA DE 100 A 240 (+/- 10%), 50/60 HZ (+/-3 HZ). GARANTIA DE UM ANO EM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HARDWARE;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>READIRIS PRO OCR CABO INCLUSO SIM, 1 USB.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F77B4" w:rsidRDefault="004F77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4F77B4" w:rsidRDefault="004F77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842" w:type="dxa"/>
            <w:vAlign w:val="center"/>
          </w:tcPr>
          <w:p w:rsidR="004F77B4" w:rsidRDefault="004F77B4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72" w:type="dxa"/>
            <w:vAlign w:val="center"/>
          </w:tcPr>
          <w:p w:rsidR="004F77B4" w:rsidRDefault="004F77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</w:t>
            </w:r>
            <w:r w:rsidR="00223B55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95" w:type="dxa"/>
            <w:vAlign w:val="center"/>
          </w:tcPr>
          <w:p w:rsidR="004F77B4" w:rsidRDefault="004F77B4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</w:t>
            </w:r>
            <w:r w:rsidR="00223B55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</w:tr>
      <w:tr w:rsidR="004909B6" w:rsidRPr="008D3874">
        <w:trPr>
          <w:cantSplit/>
          <w:trHeight w:val="280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909B6" w:rsidP="00EA423E">
            <w:pPr>
              <w:rPr>
                <w:rFonts w:ascii="Arial Narrow" w:hAnsi="Arial Narrow"/>
                <w:b/>
                <w:szCs w:val="24"/>
                <w:lang w:val="pt-PT"/>
              </w:rPr>
            </w:pPr>
            <w:r w:rsidRPr="00622DA2">
              <w:rPr>
                <w:rFonts w:ascii="Arial Narrow" w:hAnsi="Arial Narrow"/>
                <w:b/>
                <w:szCs w:val="24"/>
                <w:lang w:val="pt-PT"/>
              </w:rPr>
              <w:t>VALOR TOTAL:</w:t>
            </w:r>
            <w:proofErr w:type="gramStart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..........................................................................................................................</w:t>
            </w:r>
            <w:proofErr w:type="gramEnd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223B55" w:rsidP="00C21352">
            <w:pPr>
              <w:jc w:val="center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7.500</w:t>
            </w:r>
            <w:bookmarkStart w:id="0" w:name="_GoBack"/>
            <w:bookmarkEnd w:id="0"/>
            <w:r w:rsidR="004F77B4">
              <w:rPr>
                <w:rFonts w:ascii="Arial Narrow" w:hAnsi="Arial Narrow"/>
                <w:b/>
                <w:szCs w:val="24"/>
                <w:lang w:val="pt-PT"/>
              </w:rPr>
              <w:t>,00</w:t>
            </w:r>
          </w:p>
        </w:tc>
      </w:tr>
      <w:tr w:rsidR="004909B6" w:rsidRPr="009E14B0" w:rsidTr="007618AA">
        <w:trPr>
          <w:trHeight w:val="3828"/>
        </w:trPr>
        <w:tc>
          <w:tcPr>
            <w:tcW w:w="10424" w:type="dxa"/>
            <w:gridSpan w:val="8"/>
          </w:tcPr>
          <w:p w:rsidR="007618AA" w:rsidRDefault="004909B6" w:rsidP="00EA423E">
            <w:pPr>
              <w:pStyle w:val="Corpodetexto2"/>
              <w:jc w:val="both"/>
              <w:rPr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lastRenderedPageBreak/>
              <w:t>OBJETO:</w:t>
            </w:r>
            <w:r w:rsidR="00C21352">
              <w:t xml:space="preserve"> </w:t>
            </w:r>
            <w:r w:rsidR="004F77B4" w:rsidRPr="004F77B4">
              <w:rPr>
                <w:sz w:val="24"/>
                <w:szCs w:val="24"/>
              </w:rPr>
              <w:t>AQUISIÇÃO DE SCANNER PARA DIGTALIZAÇÃO DE PROCESSOS.</w:t>
            </w:r>
          </w:p>
          <w:p w:rsidR="004F77B4" w:rsidRPr="00622DA2" w:rsidRDefault="004F77B4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2237EC">
              <w:rPr>
                <w:rFonts w:ascii="Arial Narrow" w:hAnsi="Arial Narrow"/>
                <w:szCs w:val="24"/>
              </w:rPr>
              <w:t xml:space="preserve"> Avenida: Abílio Espindola Sobrinho n°570 – Jardim </w:t>
            </w:r>
            <w:proofErr w:type="spellStart"/>
            <w:r w:rsidR="002237EC">
              <w:rPr>
                <w:rFonts w:ascii="Arial Narrow" w:hAnsi="Arial Narrow"/>
                <w:szCs w:val="24"/>
              </w:rPr>
              <w:t>Siriema</w:t>
            </w:r>
            <w:proofErr w:type="spellEnd"/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PAGAMENTO SERÁ EFETUADO EM ATÉ 20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F77B4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035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019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BC1631" w:rsidRPr="00BC1631" w:rsidTr="007618AA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F77B4" w:rsidRDefault="004F77B4" w:rsidP="004F77B4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02.05  SECRETARIA MUNICIPAL DE ADMINISTRAÇÃO E GESTÃO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04.122.0002.2-109  MANUTENÇÃO DAS ATIVIDADES DA SECRETARIA MUNICIPAL DE ADMINISTRAÇÃO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4.4.90.52.00  EQUIPAMENTOS E MATERIAL PERMANENTE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00.01.0000.000000     /     FICHA: 037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R$ 7.660,00 (sete mil e seiscentos e sessenta reais)</w:t>
                  </w:r>
                </w:p>
                <w:p w:rsidR="00BC1631" w:rsidRPr="00BC1631" w:rsidRDefault="00BC1631" w:rsidP="004F77B4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  <w:tr w:rsidR="00BC1631" w:rsidRPr="00BC1631" w:rsidTr="007618AA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4909B6"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8D77B4">
        <w:trPr>
          <w:cantSplit/>
          <w:trHeight w:val="21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4F77B4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Adriane </w:t>
            </w:r>
            <w:proofErr w:type="spellStart"/>
            <w:r>
              <w:rPr>
                <w:rFonts w:ascii="Arial Narrow" w:hAnsi="Arial Narrow"/>
                <w:i w:val="0"/>
                <w:sz w:val="24"/>
                <w:szCs w:val="24"/>
              </w:rPr>
              <w:t>Paetzold</w:t>
            </w:r>
            <w:proofErr w:type="spellEnd"/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</w:t>
            </w:r>
            <w:r w:rsidR="004F77B4">
              <w:rPr>
                <w:rFonts w:ascii="Arial Narrow" w:hAnsi="Arial Narrow"/>
                <w:szCs w:val="24"/>
              </w:rPr>
              <w:t>RETÁRIA DE ADMINISTRAÇÃO</w:t>
            </w: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201" w:type="dxa"/>
            <w:gridSpan w:val="4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D907B2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E11E4" w:rsidRPr="004F77B4" w:rsidRDefault="004F77B4" w:rsidP="004F77B4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Leonardo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Skrascke</w:t>
            </w:r>
            <w:proofErr w:type="spellEnd"/>
            <w:r>
              <w:rPr>
                <w:rFonts w:ascii="Arial Narrow" w:hAnsi="Arial Narrow"/>
                <w:b/>
                <w:bCs/>
                <w:szCs w:val="24"/>
              </w:rPr>
              <w:t xml:space="preserve"> - ME</w:t>
            </w:r>
          </w:p>
          <w:p w:rsidR="00D907B2" w:rsidRPr="00CE11E4" w:rsidRDefault="00D907B2" w:rsidP="00D907B2">
            <w:pPr>
              <w:jc w:val="center"/>
              <w:rPr>
                <w:rFonts w:ascii="Arial Narrow" w:hAnsi="Arial Narrow"/>
                <w:lang w:val="pt-PT"/>
              </w:rPr>
            </w:pPr>
            <w:r w:rsidRPr="00CE11E4">
              <w:rPr>
                <w:rFonts w:ascii="Arial Narrow" w:hAnsi="Arial Narrow"/>
                <w:bCs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B4" w:rsidRDefault="004F77B4">
      <w:r>
        <w:separator/>
      </w:r>
    </w:p>
  </w:endnote>
  <w:endnote w:type="continuationSeparator" w:id="0">
    <w:p w:rsidR="004F77B4" w:rsidRDefault="004F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237EC" w:rsidRPr="00D520A6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                                      </w:t>
    </w:r>
    <w:r w:rsidRPr="00D520A6">
      <w:rPr>
        <w:rFonts w:ascii="Book Antiqua" w:hAnsi="Book Antiqua"/>
        <w:sz w:val="20"/>
      </w:rPr>
      <w:t xml:space="preserve">   </w:t>
    </w: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237EC" w:rsidRPr="00D520A6" w:rsidRDefault="002237EC" w:rsidP="0021057E">
    <w:pPr>
      <w:pStyle w:val="Rodap"/>
      <w:jc w:val="both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B4" w:rsidRDefault="004F77B4">
      <w:r>
        <w:separator/>
      </w:r>
    </w:p>
  </w:footnote>
  <w:footnote w:type="continuationSeparator" w:id="0">
    <w:p w:rsidR="004F77B4" w:rsidRDefault="004F7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Pr="008F437F" w:rsidRDefault="00D907B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237EC" w:rsidRPr="0021057E" w:rsidRDefault="002237EC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237EC" w:rsidRPr="00BD1A4A" w:rsidRDefault="002237EC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237EC"/>
    <w:rsid w:val="00223B55"/>
    <w:rsid w:val="00274115"/>
    <w:rsid w:val="002828EF"/>
    <w:rsid w:val="00293185"/>
    <w:rsid w:val="002B29CF"/>
    <w:rsid w:val="002D1DE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F514C"/>
    <w:rsid w:val="004F77B4"/>
    <w:rsid w:val="00511A99"/>
    <w:rsid w:val="00525BB2"/>
    <w:rsid w:val="0055606E"/>
    <w:rsid w:val="005C333F"/>
    <w:rsid w:val="005E0DDF"/>
    <w:rsid w:val="005F36DD"/>
    <w:rsid w:val="00604E2C"/>
    <w:rsid w:val="00622DA2"/>
    <w:rsid w:val="00646C6C"/>
    <w:rsid w:val="00684F18"/>
    <w:rsid w:val="00691B86"/>
    <w:rsid w:val="006B68A5"/>
    <w:rsid w:val="007060BC"/>
    <w:rsid w:val="00721482"/>
    <w:rsid w:val="00757612"/>
    <w:rsid w:val="007618AA"/>
    <w:rsid w:val="00797237"/>
    <w:rsid w:val="007C0FEB"/>
    <w:rsid w:val="007D53C0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D5E31"/>
    <w:rsid w:val="009E55EF"/>
    <w:rsid w:val="00A00C84"/>
    <w:rsid w:val="00A32EFA"/>
    <w:rsid w:val="00A5029B"/>
    <w:rsid w:val="00A60C8B"/>
    <w:rsid w:val="00A85982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C1631"/>
    <w:rsid w:val="00BD086C"/>
    <w:rsid w:val="00BD1A4A"/>
    <w:rsid w:val="00C04481"/>
    <w:rsid w:val="00C21352"/>
    <w:rsid w:val="00C222BE"/>
    <w:rsid w:val="00C3554D"/>
    <w:rsid w:val="00C44F9B"/>
    <w:rsid w:val="00C53629"/>
    <w:rsid w:val="00C557F0"/>
    <w:rsid w:val="00C7237E"/>
    <w:rsid w:val="00C82588"/>
    <w:rsid w:val="00C84DE5"/>
    <w:rsid w:val="00CA6112"/>
    <w:rsid w:val="00CB6475"/>
    <w:rsid w:val="00CB7AD3"/>
    <w:rsid w:val="00CC2C2B"/>
    <w:rsid w:val="00CE11E4"/>
    <w:rsid w:val="00CF6865"/>
    <w:rsid w:val="00D03BB4"/>
    <w:rsid w:val="00D35ECC"/>
    <w:rsid w:val="00D4608D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3018C"/>
    <w:rsid w:val="00E32B01"/>
    <w:rsid w:val="00E4092E"/>
    <w:rsid w:val="00E461B4"/>
    <w:rsid w:val="00E46AF9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2018-03-07T13:53:00Z</cp:lastPrinted>
  <dcterms:created xsi:type="dcterms:W3CDTF">2018-03-07T16:26:00Z</dcterms:created>
  <dcterms:modified xsi:type="dcterms:W3CDTF">2018-03-08T14:01:00Z</dcterms:modified>
</cp:coreProperties>
</file>